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  <w:gridCol w:w="1836"/>
        <w:gridCol w:w="3600"/>
      </w:tblGrid>
      <w:tr w:rsidR="00FE6A43" w:rsidRPr="00FE6A43">
        <w:tc>
          <w:tcPr>
            <w:tcW w:w="4068" w:type="dxa"/>
          </w:tcPr>
          <w:p w:rsidR="00FE6A43" w:rsidRPr="00FE6A43" w:rsidRDefault="00FE6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Regulation &amp; Antitrust Policy (Econ </w:t>
            </w:r>
            <w:r w:rsidR="002253DE"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36" w:type="dxa"/>
          </w:tcPr>
          <w:p w:rsidR="00FE6A43" w:rsidRPr="00FE6A43" w:rsidRDefault="00FE6A43" w:rsidP="00FE6A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E6A43" w:rsidRPr="00FE6A43" w:rsidRDefault="00FE6A43">
            <w:pPr>
              <w:rPr>
                <w:sz w:val="20"/>
                <w:szCs w:val="20"/>
              </w:rPr>
            </w:pPr>
          </w:p>
        </w:tc>
      </w:tr>
      <w:tr w:rsidR="00FE6A43" w:rsidRPr="00FE6A43">
        <w:tc>
          <w:tcPr>
            <w:tcW w:w="4068" w:type="dxa"/>
          </w:tcPr>
          <w:p w:rsidR="00FE6A43" w:rsidRDefault="00FE6A43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0"/>
                    <w:szCs w:val="20"/>
                  </w:rPr>
                  <w:t>Drake</w:t>
                </w:r>
              </w:smartTag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0"/>
                    <w:szCs w:val="20"/>
                  </w:rPr>
                  <w:t>University</w:t>
                </w:r>
              </w:smartTag>
            </w:smartTag>
            <w:r>
              <w:rPr>
                <w:sz w:val="20"/>
                <w:szCs w:val="20"/>
              </w:rPr>
              <w:t xml:space="preserve">, Spring </w:t>
            </w:r>
            <w:r w:rsidR="00586445">
              <w:rPr>
                <w:sz w:val="20"/>
                <w:szCs w:val="20"/>
              </w:rPr>
              <w:t>2011</w:t>
            </w:r>
          </w:p>
          <w:p w:rsidR="00FE6A43" w:rsidRPr="00FE6A43" w:rsidRDefault="00FE6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M. Boal</w:t>
            </w:r>
          </w:p>
        </w:tc>
        <w:tc>
          <w:tcPr>
            <w:tcW w:w="1836" w:type="dxa"/>
          </w:tcPr>
          <w:p w:rsidR="00FE6A43" w:rsidRDefault="00FE6A43" w:rsidP="00FE6A43">
            <w:pPr>
              <w:jc w:val="right"/>
              <w:rPr>
                <w:sz w:val="20"/>
                <w:szCs w:val="20"/>
              </w:rPr>
            </w:pPr>
          </w:p>
          <w:p w:rsidR="00FE6A43" w:rsidRPr="00FE6A43" w:rsidRDefault="00FE6A43" w:rsidP="00FE6A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Printed name: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FE6A43" w:rsidRPr="00FE6A43" w:rsidRDefault="00FE6A43">
            <w:pPr>
              <w:rPr>
                <w:sz w:val="20"/>
                <w:szCs w:val="20"/>
              </w:rPr>
            </w:pPr>
          </w:p>
        </w:tc>
      </w:tr>
    </w:tbl>
    <w:p w:rsidR="0021569D" w:rsidRDefault="0021569D">
      <w:pPr>
        <w:rPr>
          <w:sz w:val="20"/>
          <w:szCs w:val="20"/>
        </w:rPr>
      </w:pPr>
    </w:p>
    <w:p w:rsidR="002253DE" w:rsidRPr="00FE6A43" w:rsidRDefault="00D83FE5" w:rsidP="00FE6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QUIZ</w:t>
      </w:r>
      <w:r w:rsidR="00FE6A43" w:rsidRPr="00FE6A43">
        <w:rPr>
          <w:b/>
          <w:sz w:val="28"/>
          <w:szCs w:val="28"/>
        </w:rPr>
        <w:t xml:space="preserve"> #</w:t>
      </w:r>
      <w:r w:rsidR="00B91FE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VERSION </w:t>
      </w:r>
      <w:r w:rsidR="00D365F4">
        <w:rPr>
          <w:b/>
          <w:sz w:val="28"/>
          <w:szCs w:val="28"/>
        </w:rPr>
        <w:t>B</w:t>
      </w:r>
    </w:p>
    <w:p w:rsidR="00FE6A43" w:rsidRPr="00FE6A43" w:rsidRDefault="00FE6A43" w:rsidP="00FE6A43">
      <w:pPr>
        <w:jc w:val="center"/>
        <w:rPr>
          <w:b/>
          <w:sz w:val="28"/>
          <w:szCs w:val="28"/>
        </w:rPr>
      </w:pPr>
      <w:r w:rsidRPr="00FE6A43">
        <w:rPr>
          <w:b/>
          <w:sz w:val="28"/>
          <w:szCs w:val="28"/>
        </w:rPr>
        <w:t>"</w:t>
      </w:r>
      <w:r w:rsidR="009E7D3C">
        <w:rPr>
          <w:b/>
          <w:sz w:val="28"/>
          <w:szCs w:val="28"/>
        </w:rPr>
        <w:t>Monopolization and Price Discrimination</w:t>
      </w:r>
      <w:r w:rsidRPr="00FE6A43">
        <w:rPr>
          <w:b/>
          <w:sz w:val="28"/>
          <w:szCs w:val="28"/>
        </w:rPr>
        <w:t>"</w:t>
      </w:r>
    </w:p>
    <w:p w:rsidR="001A5C46" w:rsidRDefault="001A5C46">
      <w:pPr>
        <w:rPr>
          <w:sz w:val="20"/>
          <w:szCs w:val="20"/>
        </w:rPr>
      </w:pPr>
    </w:p>
    <w:p w:rsidR="00FE6A43" w:rsidRDefault="00FE6A43" w:rsidP="00FE6A43">
      <w:pPr>
        <w:rPr>
          <w:sz w:val="20"/>
        </w:rPr>
      </w:pPr>
      <w:r>
        <w:rPr>
          <w:sz w:val="20"/>
        </w:rPr>
        <w:t xml:space="preserve">INSTRUCTIONS:  </w:t>
      </w:r>
      <w:r w:rsidRPr="007E46F9">
        <w:rPr>
          <w:sz w:val="20"/>
        </w:rPr>
        <w:t xml:space="preserve">This exam is closed-book, closed-notes.  Simple calculators are permitted, but graphing calculators or calculators with alphabetical keyboards are NOT permitted.  </w:t>
      </w:r>
      <w:r>
        <w:rPr>
          <w:sz w:val="20"/>
        </w:rPr>
        <w:t>Numerical answers, if rounded, must be correct to at least 3 significant digits.  Point values for each q</w:t>
      </w:r>
      <w:r w:rsidR="005E7114">
        <w:rPr>
          <w:sz w:val="20"/>
        </w:rPr>
        <w:t>uestion are noted in brackets.</w:t>
      </w:r>
    </w:p>
    <w:p w:rsidR="00FE6A43" w:rsidRDefault="00FE6A43" w:rsidP="00FE6A43">
      <w:pPr>
        <w:rPr>
          <w:sz w:val="20"/>
        </w:rPr>
      </w:pPr>
    </w:p>
    <w:p w:rsidR="00BF6707" w:rsidRDefault="00BF6707" w:rsidP="00FE6A43">
      <w:pPr>
        <w:rPr>
          <w:sz w:val="20"/>
        </w:rPr>
      </w:pPr>
    </w:p>
    <w:p w:rsidR="00FE6A43" w:rsidRDefault="00FE6A43" w:rsidP="00FE6A43">
      <w:pPr>
        <w:rPr>
          <w:sz w:val="20"/>
        </w:rPr>
      </w:pPr>
      <w:r>
        <w:rPr>
          <w:b/>
          <w:sz w:val="20"/>
        </w:rPr>
        <w:t xml:space="preserve">I.  Multiple </w:t>
      </w:r>
      <w:proofErr w:type="gramStart"/>
      <w:r>
        <w:rPr>
          <w:b/>
          <w:sz w:val="20"/>
        </w:rPr>
        <w:t>choice</w:t>
      </w:r>
      <w:proofErr w:type="gramEnd"/>
      <w:r>
        <w:rPr>
          <w:b/>
          <w:sz w:val="20"/>
        </w:rPr>
        <w:t xml:space="preserve">: </w:t>
      </w:r>
      <w:r>
        <w:rPr>
          <w:sz w:val="20"/>
        </w:rPr>
        <w:t xml:space="preserve"> Circle the one best answer to each question.  [</w:t>
      </w:r>
      <w:r w:rsidR="003411CB">
        <w:rPr>
          <w:sz w:val="20"/>
        </w:rPr>
        <w:t>2</w:t>
      </w:r>
      <w:r>
        <w:rPr>
          <w:sz w:val="20"/>
        </w:rPr>
        <w:t xml:space="preserve"> pts each: </w:t>
      </w:r>
      <w:r w:rsidR="00D56FB7">
        <w:rPr>
          <w:sz w:val="20"/>
        </w:rPr>
        <w:t>2</w:t>
      </w:r>
      <w:r w:rsidR="001740C1">
        <w:rPr>
          <w:sz w:val="20"/>
        </w:rPr>
        <w:t>0</w:t>
      </w:r>
      <w:r w:rsidR="00B86C07">
        <w:rPr>
          <w:sz w:val="20"/>
        </w:rPr>
        <w:t xml:space="preserve"> </w:t>
      </w:r>
      <w:r>
        <w:rPr>
          <w:sz w:val="20"/>
        </w:rPr>
        <w:t>pts total]</w:t>
      </w:r>
    </w:p>
    <w:p w:rsidR="00FE6A43" w:rsidRDefault="00FE6A43" w:rsidP="00FE6A43">
      <w:pPr>
        <w:rPr>
          <w:sz w:val="20"/>
        </w:rPr>
      </w:pPr>
    </w:p>
    <w:p w:rsidR="00FE6A43" w:rsidRDefault="00FE6A43" w:rsidP="00FE6A43">
      <w:pPr>
        <w:rPr>
          <w:sz w:val="20"/>
          <w:szCs w:val="20"/>
        </w:rPr>
        <w:sectPr w:rsidR="00FE6A43" w:rsidSect="00FE6A43">
          <w:headerReference w:type="default" r:id="rId7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56FB7" w:rsidRDefault="00D56FB7" w:rsidP="00D56FB7">
      <w:pPr>
        <w:rPr>
          <w:sz w:val="20"/>
        </w:rPr>
      </w:pPr>
      <w:r>
        <w:rPr>
          <w:sz w:val="20"/>
        </w:rPr>
        <w:lastRenderedPageBreak/>
        <w:t>(1) To be convicted of violating the Sherman Act Section 2, firms must possess monopoly power and</w:t>
      </w:r>
    </w:p>
    <w:p w:rsidR="00D365F4" w:rsidRDefault="00D365F4" w:rsidP="00D365F4">
      <w:pPr>
        <w:numPr>
          <w:ilvl w:val="0"/>
          <w:numId w:val="2"/>
        </w:numPr>
        <w:rPr>
          <w:sz w:val="20"/>
        </w:rPr>
      </w:pPr>
      <w:proofErr w:type="gramStart"/>
      <w:r>
        <w:rPr>
          <w:sz w:val="20"/>
        </w:rPr>
        <w:t>show</w:t>
      </w:r>
      <w:proofErr w:type="gramEnd"/>
      <w:r>
        <w:rPr>
          <w:sz w:val="20"/>
        </w:rPr>
        <w:t xml:space="preserve"> intent to monopolize a market.</w:t>
      </w:r>
    </w:p>
    <w:p w:rsidR="00D365F4" w:rsidRDefault="00D365F4" w:rsidP="00D365F4">
      <w:pPr>
        <w:numPr>
          <w:ilvl w:val="0"/>
          <w:numId w:val="2"/>
        </w:numPr>
        <w:rPr>
          <w:sz w:val="20"/>
        </w:rPr>
      </w:pPr>
      <w:proofErr w:type="gramStart"/>
      <w:r>
        <w:rPr>
          <w:sz w:val="20"/>
        </w:rPr>
        <w:t>have</w:t>
      </w:r>
      <w:proofErr w:type="gramEnd"/>
      <w:r>
        <w:rPr>
          <w:sz w:val="20"/>
        </w:rPr>
        <w:t xml:space="preserve"> higher cost than any potential rival.</w:t>
      </w:r>
    </w:p>
    <w:p w:rsidR="001740C1" w:rsidRDefault="001740C1" w:rsidP="001740C1">
      <w:pPr>
        <w:numPr>
          <w:ilvl w:val="0"/>
          <w:numId w:val="2"/>
        </w:numPr>
        <w:rPr>
          <w:sz w:val="20"/>
        </w:rPr>
      </w:pPr>
      <w:proofErr w:type="gramStart"/>
      <w:r>
        <w:rPr>
          <w:sz w:val="20"/>
        </w:rPr>
        <w:t>enjoy</w:t>
      </w:r>
      <w:proofErr w:type="gramEnd"/>
      <w:r>
        <w:rPr>
          <w:sz w:val="20"/>
        </w:rPr>
        <w:t xml:space="preserve"> above-normal profit.</w:t>
      </w:r>
    </w:p>
    <w:p w:rsidR="00D56FB7" w:rsidRDefault="00D56FB7" w:rsidP="00D56FB7">
      <w:pPr>
        <w:numPr>
          <w:ilvl w:val="0"/>
          <w:numId w:val="2"/>
        </w:numPr>
        <w:rPr>
          <w:sz w:val="20"/>
        </w:rPr>
      </w:pPr>
      <w:proofErr w:type="gramStart"/>
      <w:r>
        <w:rPr>
          <w:sz w:val="20"/>
        </w:rPr>
        <w:t>have</w:t>
      </w:r>
      <w:proofErr w:type="gramEnd"/>
      <w:r>
        <w:rPr>
          <w:sz w:val="20"/>
        </w:rPr>
        <w:t xml:space="preserve"> lower cost than any potential rival.</w:t>
      </w:r>
    </w:p>
    <w:p w:rsidR="00D56FB7" w:rsidRDefault="00D56FB7" w:rsidP="00D56FB7">
      <w:pPr>
        <w:rPr>
          <w:sz w:val="20"/>
        </w:rPr>
      </w:pPr>
    </w:p>
    <w:p w:rsidR="009E7D3C" w:rsidRDefault="008C61EB" w:rsidP="00D56FB7">
      <w:pPr>
        <w:rPr>
          <w:sz w:val="20"/>
        </w:rPr>
      </w:pPr>
      <w:r>
        <w:rPr>
          <w:sz w:val="20"/>
        </w:rPr>
        <w:t>(</w:t>
      </w:r>
      <w:r w:rsidR="00D56FB7">
        <w:rPr>
          <w:sz w:val="20"/>
        </w:rPr>
        <w:t>2</w:t>
      </w:r>
      <w:r w:rsidR="009E7D3C">
        <w:rPr>
          <w:sz w:val="20"/>
        </w:rPr>
        <w:t>) To determine whether a firm possesses monopoly power, the courts most often use</w:t>
      </w:r>
    </w:p>
    <w:p w:rsidR="00D365F4" w:rsidRDefault="00D365F4" w:rsidP="00D365F4">
      <w:pPr>
        <w:numPr>
          <w:ilvl w:val="0"/>
          <w:numId w:val="1"/>
        </w:numPr>
        <w:rPr>
          <w:sz w:val="20"/>
        </w:rPr>
      </w:pP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number of other firms in the market.</w:t>
      </w:r>
    </w:p>
    <w:p w:rsidR="00D365F4" w:rsidRDefault="00D365F4" w:rsidP="00D365F4">
      <w:pPr>
        <w:numPr>
          <w:ilvl w:val="0"/>
          <w:numId w:val="1"/>
        </w:numPr>
        <w:rPr>
          <w:sz w:val="20"/>
        </w:rPr>
      </w:pPr>
      <w:proofErr w:type="gramStart"/>
      <w:r>
        <w:rPr>
          <w:sz w:val="20"/>
        </w:rPr>
        <w:t>market</w:t>
      </w:r>
      <w:proofErr w:type="gramEnd"/>
      <w:r>
        <w:rPr>
          <w:sz w:val="20"/>
        </w:rPr>
        <w:t xml:space="preserve"> share.</w:t>
      </w:r>
    </w:p>
    <w:p w:rsidR="001740C1" w:rsidRDefault="001740C1" w:rsidP="001740C1">
      <w:pPr>
        <w:numPr>
          <w:ilvl w:val="0"/>
          <w:numId w:val="1"/>
        </w:numPr>
        <w:rPr>
          <w:sz w:val="20"/>
        </w:rPr>
      </w:pP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Lerner index.</w:t>
      </w:r>
    </w:p>
    <w:p w:rsidR="001740C1" w:rsidRDefault="001740C1" w:rsidP="001740C1">
      <w:pPr>
        <w:numPr>
          <w:ilvl w:val="0"/>
          <w:numId w:val="1"/>
        </w:numPr>
        <w:rPr>
          <w:sz w:val="20"/>
        </w:rPr>
      </w:pP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Bain index.</w:t>
      </w:r>
    </w:p>
    <w:p w:rsidR="009E7D3C" w:rsidRDefault="009E7D3C" w:rsidP="009E7D3C">
      <w:pPr>
        <w:rPr>
          <w:sz w:val="20"/>
        </w:rPr>
      </w:pPr>
    </w:p>
    <w:p w:rsidR="00D56FB7" w:rsidRDefault="00D56FB7" w:rsidP="00D56FB7">
      <w:pPr>
        <w:rPr>
          <w:sz w:val="20"/>
        </w:rPr>
      </w:pPr>
      <w:r>
        <w:rPr>
          <w:sz w:val="20"/>
        </w:rPr>
        <w:t>(3) John McGee’s (1958) influential study of the Standard Oil case</w:t>
      </w:r>
      <w:r w:rsidR="001740C1">
        <w:rPr>
          <w:sz w:val="20"/>
        </w:rPr>
        <w:t xml:space="preserve"> argued that</w:t>
      </w:r>
      <w:r>
        <w:rPr>
          <w:sz w:val="20"/>
        </w:rPr>
        <w:t xml:space="preserve"> predatory pricing as a means for driving out rivals is generally</w:t>
      </w:r>
    </w:p>
    <w:p w:rsidR="00D365F4" w:rsidRDefault="00D365F4" w:rsidP="00D365F4">
      <w:pPr>
        <w:numPr>
          <w:ilvl w:val="0"/>
          <w:numId w:val="14"/>
        </w:numPr>
        <w:rPr>
          <w:sz w:val="20"/>
        </w:rPr>
      </w:pPr>
      <w:proofErr w:type="gramStart"/>
      <w:r>
        <w:rPr>
          <w:sz w:val="20"/>
        </w:rPr>
        <w:t>cheaper</w:t>
      </w:r>
      <w:proofErr w:type="gramEnd"/>
      <w:r>
        <w:rPr>
          <w:sz w:val="20"/>
        </w:rPr>
        <w:t xml:space="preserve"> than merging with rivals.</w:t>
      </w:r>
    </w:p>
    <w:p w:rsidR="00D365F4" w:rsidRDefault="00D365F4" w:rsidP="00D365F4">
      <w:pPr>
        <w:numPr>
          <w:ilvl w:val="0"/>
          <w:numId w:val="14"/>
        </w:numPr>
        <w:rPr>
          <w:sz w:val="20"/>
        </w:rPr>
      </w:pPr>
      <w:proofErr w:type="gramStart"/>
      <w:r>
        <w:rPr>
          <w:sz w:val="20"/>
        </w:rPr>
        <w:t>widespread</w:t>
      </w:r>
      <w:proofErr w:type="gramEnd"/>
      <w:r>
        <w:rPr>
          <w:sz w:val="20"/>
        </w:rPr>
        <w:t>.</w:t>
      </w:r>
    </w:p>
    <w:p w:rsidR="001740C1" w:rsidRDefault="001740C1" w:rsidP="001740C1">
      <w:pPr>
        <w:numPr>
          <w:ilvl w:val="0"/>
          <w:numId w:val="14"/>
        </w:numPr>
        <w:rPr>
          <w:sz w:val="20"/>
        </w:rPr>
      </w:pPr>
      <w:proofErr w:type="gramStart"/>
      <w:r>
        <w:rPr>
          <w:sz w:val="20"/>
        </w:rPr>
        <w:t>effective</w:t>
      </w:r>
      <w:proofErr w:type="gramEnd"/>
      <w:r>
        <w:rPr>
          <w:sz w:val="20"/>
        </w:rPr>
        <w:t xml:space="preserve"> but welfare-reducing.</w:t>
      </w:r>
    </w:p>
    <w:p w:rsidR="001740C1" w:rsidRDefault="001740C1" w:rsidP="001740C1">
      <w:pPr>
        <w:numPr>
          <w:ilvl w:val="0"/>
          <w:numId w:val="14"/>
        </w:numPr>
        <w:rPr>
          <w:sz w:val="20"/>
        </w:rPr>
      </w:pPr>
      <w:proofErr w:type="gramStart"/>
      <w:r>
        <w:rPr>
          <w:sz w:val="20"/>
        </w:rPr>
        <w:t>unprofitable</w:t>
      </w:r>
      <w:proofErr w:type="gramEnd"/>
      <w:r>
        <w:rPr>
          <w:sz w:val="20"/>
        </w:rPr>
        <w:t>.</w:t>
      </w:r>
    </w:p>
    <w:p w:rsidR="00D56FB7" w:rsidRDefault="00D56FB7" w:rsidP="00D56FB7">
      <w:pPr>
        <w:numPr>
          <w:ilvl w:val="0"/>
          <w:numId w:val="14"/>
        </w:numPr>
        <w:rPr>
          <w:sz w:val="20"/>
        </w:rPr>
      </w:pPr>
      <w:proofErr w:type="gramStart"/>
      <w:r>
        <w:rPr>
          <w:sz w:val="20"/>
        </w:rPr>
        <w:t>all</w:t>
      </w:r>
      <w:proofErr w:type="gramEnd"/>
      <w:r>
        <w:rPr>
          <w:sz w:val="20"/>
        </w:rPr>
        <w:t xml:space="preserve"> of the above.</w:t>
      </w:r>
    </w:p>
    <w:p w:rsidR="00D56FB7" w:rsidRDefault="00D56FB7" w:rsidP="00D56FB7">
      <w:pPr>
        <w:rPr>
          <w:sz w:val="20"/>
        </w:rPr>
      </w:pPr>
    </w:p>
    <w:p w:rsidR="009E7D3C" w:rsidRDefault="009E7D3C" w:rsidP="00D56FB7">
      <w:pPr>
        <w:rPr>
          <w:sz w:val="20"/>
        </w:rPr>
      </w:pPr>
      <w:r>
        <w:rPr>
          <w:sz w:val="20"/>
        </w:rPr>
        <w:t>(</w:t>
      </w:r>
      <w:r w:rsidR="00D56FB7">
        <w:rPr>
          <w:sz w:val="20"/>
        </w:rPr>
        <w:t>4</w:t>
      </w:r>
      <w:r>
        <w:rPr>
          <w:sz w:val="20"/>
        </w:rPr>
        <w:t xml:space="preserve">) According to the </w:t>
      </w:r>
      <w:proofErr w:type="spellStart"/>
      <w:r>
        <w:rPr>
          <w:sz w:val="20"/>
        </w:rPr>
        <w:t>Areeda</w:t>
      </w:r>
      <w:proofErr w:type="spellEnd"/>
      <w:r>
        <w:rPr>
          <w:sz w:val="20"/>
        </w:rPr>
        <w:t xml:space="preserve">-Turner </w:t>
      </w:r>
      <w:r w:rsidR="00BF6707">
        <w:rPr>
          <w:sz w:val="20"/>
        </w:rPr>
        <w:t xml:space="preserve">(1975) </w:t>
      </w:r>
      <w:r>
        <w:rPr>
          <w:sz w:val="20"/>
        </w:rPr>
        <w:t xml:space="preserve">rule, </w:t>
      </w:r>
      <w:r w:rsidR="00BF6707">
        <w:rPr>
          <w:sz w:val="20"/>
        </w:rPr>
        <w:t xml:space="preserve">a </w:t>
      </w:r>
      <w:r>
        <w:rPr>
          <w:sz w:val="20"/>
        </w:rPr>
        <w:t xml:space="preserve">firm should be presumed to be engaging in predatory pricing if </w:t>
      </w:r>
      <w:r w:rsidR="00BF6707">
        <w:rPr>
          <w:sz w:val="20"/>
        </w:rPr>
        <w:t>its</w:t>
      </w:r>
      <w:r>
        <w:rPr>
          <w:sz w:val="20"/>
        </w:rPr>
        <w:t xml:space="preserve"> price is less than</w:t>
      </w:r>
      <w:r w:rsidR="00BF6707">
        <w:rPr>
          <w:sz w:val="20"/>
        </w:rPr>
        <w:t xml:space="preserve"> </w:t>
      </w:r>
      <w:proofErr w:type="gramStart"/>
      <w:r w:rsidR="00BF6707">
        <w:rPr>
          <w:sz w:val="20"/>
        </w:rPr>
        <w:t>its</w:t>
      </w:r>
      <w:proofErr w:type="gramEnd"/>
    </w:p>
    <w:p w:rsidR="00D365F4" w:rsidRDefault="00D365F4" w:rsidP="00D365F4">
      <w:pPr>
        <w:numPr>
          <w:ilvl w:val="0"/>
          <w:numId w:val="4"/>
        </w:numPr>
        <w:rPr>
          <w:sz w:val="20"/>
        </w:rPr>
      </w:pPr>
      <w:proofErr w:type="gramStart"/>
      <w:r>
        <w:rPr>
          <w:sz w:val="20"/>
        </w:rPr>
        <w:t>average</w:t>
      </w:r>
      <w:proofErr w:type="gramEnd"/>
      <w:r>
        <w:rPr>
          <w:sz w:val="20"/>
        </w:rPr>
        <w:t xml:space="preserve"> total cost.</w:t>
      </w:r>
    </w:p>
    <w:p w:rsidR="00D365F4" w:rsidRDefault="00D365F4" w:rsidP="00D365F4">
      <w:pPr>
        <w:numPr>
          <w:ilvl w:val="0"/>
          <w:numId w:val="4"/>
        </w:numPr>
        <w:rPr>
          <w:sz w:val="20"/>
        </w:rPr>
      </w:pPr>
      <w:r>
        <w:rPr>
          <w:sz w:val="20"/>
        </w:rPr>
        <w:t>marginal cost</w:t>
      </w:r>
    </w:p>
    <w:p w:rsidR="001740C1" w:rsidRDefault="001740C1" w:rsidP="001740C1">
      <w:pPr>
        <w:numPr>
          <w:ilvl w:val="0"/>
          <w:numId w:val="4"/>
        </w:numPr>
        <w:rPr>
          <w:sz w:val="20"/>
        </w:rPr>
      </w:pPr>
      <w:proofErr w:type="gramStart"/>
      <w:r>
        <w:rPr>
          <w:sz w:val="20"/>
        </w:rPr>
        <w:t>average</w:t>
      </w:r>
      <w:proofErr w:type="gramEnd"/>
      <w:r>
        <w:rPr>
          <w:sz w:val="20"/>
        </w:rPr>
        <w:t xml:space="preserve"> variable cost.</w:t>
      </w:r>
    </w:p>
    <w:p w:rsidR="001740C1" w:rsidRDefault="001740C1" w:rsidP="001740C1">
      <w:pPr>
        <w:numPr>
          <w:ilvl w:val="0"/>
          <w:numId w:val="4"/>
        </w:numPr>
        <w:rPr>
          <w:sz w:val="20"/>
        </w:rPr>
      </w:pPr>
      <w:proofErr w:type="gramStart"/>
      <w:r>
        <w:rPr>
          <w:sz w:val="20"/>
        </w:rPr>
        <w:t>average</w:t>
      </w:r>
      <w:proofErr w:type="gramEnd"/>
      <w:r>
        <w:rPr>
          <w:sz w:val="20"/>
        </w:rPr>
        <w:t xml:space="preserve"> fixed cost.</w:t>
      </w:r>
    </w:p>
    <w:p w:rsidR="009E7D3C" w:rsidRDefault="009E7D3C" w:rsidP="009E7D3C">
      <w:pPr>
        <w:rPr>
          <w:sz w:val="20"/>
        </w:rPr>
      </w:pPr>
    </w:p>
    <w:p w:rsidR="008B2132" w:rsidRDefault="008B2132" w:rsidP="008B2132">
      <w:pPr>
        <w:rPr>
          <w:sz w:val="20"/>
        </w:rPr>
      </w:pPr>
      <w:r>
        <w:rPr>
          <w:sz w:val="20"/>
        </w:rPr>
        <w:t>(</w:t>
      </w:r>
      <w:r w:rsidR="00590852">
        <w:rPr>
          <w:sz w:val="20"/>
        </w:rPr>
        <w:t>5</w:t>
      </w:r>
      <w:r>
        <w:rPr>
          <w:sz w:val="20"/>
        </w:rPr>
        <w:t>) According to several recent Supreme Court cases, conviction for predatory pricing now requires evidence of</w:t>
      </w:r>
    </w:p>
    <w:p w:rsidR="00D365F4" w:rsidRDefault="00D365F4" w:rsidP="00D365F4">
      <w:pPr>
        <w:numPr>
          <w:ilvl w:val="0"/>
          <w:numId w:val="16"/>
        </w:numPr>
        <w:rPr>
          <w:sz w:val="20"/>
        </w:rPr>
      </w:pPr>
      <w:proofErr w:type="gramStart"/>
      <w:r>
        <w:rPr>
          <w:sz w:val="20"/>
        </w:rPr>
        <w:t>entry</w:t>
      </w:r>
      <w:proofErr w:type="gramEnd"/>
      <w:r>
        <w:rPr>
          <w:sz w:val="20"/>
        </w:rPr>
        <w:t xml:space="preserve"> barriers.</w:t>
      </w:r>
    </w:p>
    <w:p w:rsidR="001740C1" w:rsidRDefault="001740C1" w:rsidP="001740C1">
      <w:pPr>
        <w:numPr>
          <w:ilvl w:val="0"/>
          <w:numId w:val="16"/>
        </w:numPr>
        <w:rPr>
          <w:sz w:val="20"/>
        </w:rPr>
      </w:pPr>
      <w:proofErr w:type="gramStart"/>
      <w:r>
        <w:rPr>
          <w:sz w:val="20"/>
        </w:rPr>
        <w:t>high</w:t>
      </w:r>
      <w:proofErr w:type="gramEnd"/>
      <w:r>
        <w:rPr>
          <w:sz w:val="20"/>
        </w:rPr>
        <w:t xml:space="preserve"> market concentration.</w:t>
      </w:r>
    </w:p>
    <w:p w:rsidR="008B2132" w:rsidRDefault="008B2132" w:rsidP="008B2132">
      <w:pPr>
        <w:numPr>
          <w:ilvl w:val="0"/>
          <w:numId w:val="16"/>
        </w:numPr>
        <w:rPr>
          <w:sz w:val="20"/>
        </w:rPr>
      </w:pPr>
      <w:proofErr w:type="gramStart"/>
      <w:r>
        <w:rPr>
          <w:sz w:val="20"/>
        </w:rPr>
        <w:t>pricing</w:t>
      </w:r>
      <w:proofErr w:type="gramEnd"/>
      <w:r>
        <w:rPr>
          <w:sz w:val="20"/>
        </w:rPr>
        <w:t xml:space="preserve"> below cost.</w:t>
      </w:r>
    </w:p>
    <w:p w:rsidR="008B2132" w:rsidRDefault="008B2132" w:rsidP="008B2132">
      <w:pPr>
        <w:numPr>
          <w:ilvl w:val="0"/>
          <w:numId w:val="16"/>
        </w:numPr>
        <w:rPr>
          <w:sz w:val="20"/>
        </w:rPr>
      </w:pPr>
      <w:proofErr w:type="gramStart"/>
      <w:r>
        <w:rPr>
          <w:sz w:val="20"/>
        </w:rPr>
        <w:t>all</w:t>
      </w:r>
      <w:proofErr w:type="gramEnd"/>
      <w:r>
        <w:rPr>
          <w:sz w:val="20"/>
        </w:rPr>
        <w:t xml:space="preserve"> of the above.</w:t>
      </w:r>
    </w:p>
    <w:p w:rsidR="008B2132" w:rsidRDefault="008B2132" w:rsidP="008B2132">
      <w:pPr>
        <w:rPr>
          <w:sz w:val="20"/>
        </w:rPr>
      </w:pPr>
    </w:p>
    <w:p w:rsidR="00DC76AA" w:rsidRDefault="00DC76AA" w:rsidP="00DC76AA">
      <w:pPr>
        <w:rPr>
          <w:sz w:val="20"/>
        </w:rPr>
      </w:pPr>
      <w:r>
        <w:rPr>
          <w:sz w:val="20"/>
        </w:rPr>
        <w:lastRenderedPageBreak/>
        <w:t>(</w:t>
      </w:r>
      <w:r w:rsidR="00590852">
        <w:rPr>
          <w:sz w:val="20"/>
        </w:rPr>
        <w:t>6</w:t>
      </w:r>
      <w:r>
        <w:rPr>
          <w:sz w:val="20"/>
        </w:rPr>
        <w:t xml:space="preserve">) Suppose everyone likes to use the same </w:t>
      </w:r>
      <w:r w:rsidR="00753B11">
        <w:rPr>
          <w:sz w:val="20"/>
        </w:rPr>
        <w:t>word processor</w:t>
      </w:r>
      <w:r>
        <w:rPr>
          <w:sz w:val="20"/>
        </w:rPr>
        <w:t xml:space="preserve"> that everyone else is using.  Then the market for </w:t>
      </w:r>
      <w:r w:rsidR="00753B11">
        <w:rPr>
          <w:sz w:val="20"/>
        </w:rPr>
        <w:t>work processors</w:t>
      </w:r>
      <w:r>
        <w:rPr>
          <w:sz w:val="20"/>
        </w:rPr>
        <w:t xml:space="preserve"> is characterized by</w:t>
      </w:r>
    </w:p>
    <w:p w:rsidR="00D365F4" w:rsidRDefault="00D365F4" w:rsidP="00D365F4">
      <w:pPr>
        <w:numPr>
          <w:ilvl w:val="0"/>
          <w:numId w:val="9"/>
        </w:numPr>
        <w:rPr>
          <w:sz w:val="20"/>
        </w:rPr>
      </w:pPr>
      <w:proofErr w:type="gramStart"/>
      <w:r>
        <w:rPr>
          <w:sz w:val="20"/>
        </w:rPr>
        <w:t>economies</w:t>
      </w:r>
      <w:proofErr w:type="gramEnd"/>
      <w:r>
        <w:rPr>
          <w:sz w:val="20"/>
        </w:rPr>
        <w:t xml:space="preserve"> of scope.</w:t>
      </w:r>
    </w:p>
    <w:p w:rsidR="00D365F4" w:rsidRDefault="00D365F4" w:rsidP="00D365F4">
      <w:pPr>
        <w:numPr>
          <w:ilvl w:val="0"/>
          <w:numId w:val="9"/>
        </w:numPr>
        <w:rPr>
          <w:sz w:val="20"/>
        </w:rPr>
      </w:pPr>
      <w:proofErr w:type="gramStart"/>
      <w:r>
        <w:rPr>
          <w:sz w:val="20"/>
        </w:rPr>
        <w:t>network</w:t>
      </w:r>
      <w:proofErr w:type="gramEnd"/>
      <w:r>
        <w:rPr>
          <w:sz w:val="20"/>
        </w:rPr>
        <w:t xml:space="preserve"> externalities.</w:t>
      </w:r>
    </w:p>
    <w:p w:rsidR="00D365F4" w:rsidRDefault="00D365F4" w:rsidP="00D365F4">
      <w:pPr>
        <w:numPr>
          <w:ilvl w:val="0"/>
          <w:numId w:val="9"/>
        </w:numPr>
        <w:rPr>
          <w:sz w:val="20"/>
        </w:rPr>
      </w:pPr>
      <w:proofErr w:type="gramStart"/>
      <w:r>
        <w:rPr>
          <w:sz w:val="20"/>
        </w:rPr>
        <w:t>collusion</w:t>
      </w:r>
      <w:proofErr w:type="gramEnd"/>
      <w:r>
        <w:rPr>
          <w:sz w:val="20"/>
        </w:rPr>
        <w:t>.</w:t>
      </w:r>
    </w:p>
    <w:p w:rsidR="001740C1" w:rsidRDefault="001740C1" w:rsidP="001740C1">
      <w:pPr>
        <w:numPr>
          <w:ilvl w:val="0"/>
          <w:numId w:val="9"/>
        </w:numPr>
        <w:rPr>
          <w:sz w:val="20"/>
        </w:rPr>
      </w:pPr>
      <w:proofErr w:type="gramStart"/>
      <w:r>
        <w:rPr>
          <w:sz w:val="20"/>
        </w:rPr>
        <w:t>predation</w:t>
      </w:r>
      <w:proofErr w:type="gramEnd"/>
      <w:r>
        <w:rPr>
          <w:sz w:val="20"/>
        </w:rPr>
        <w:t>.</w:t>
      </w:r>
    </w:p>
    <w:p w:rsidR="001740C1" w:rsidRDefault="001740C1" w:rsidP="001740C1">
      <w:pPr>
        <w:numPr>
          <w:ilvl w:val="0"/>
          <w:numId w:val="9"/>
        </w:numPr>
        <w:rPr>
          <w:sz w:val="20"/>
        </w:rPr>
      </w:pPr>
      <w:proofErr w:type="gramStart"/>
      <w:r>
        <w:rPr>
          <w:sz w:val="20"/>
        </w:rPr>
        <w:t>economies</w:t>
      </w:r>
      <w:proofErr w:type="gramEnd"/>
      <w:r>
        <w:rPr>
          <w:sz w:val="20"/>
        </w:rPr>
        <w:t xml:space="preserve"> of scale.</w:t>
      </w:r>
    </w:p>
    <w:p w:rsidR="00DC76AA" w:rsidRDefault="00DC76AA" w:rsidP="00DC76AA">
      <w:pPr>
        <w:rPr>
          <w:sz w:val="20"/>
        </w:rPr>
      </w:pPr>
    </w:p>
    <w:p w:rsidR="002B2718" w:rsidRDefault="002B2718" w:rsidP="00DC76AA">
      <w:pPr>
        <w:rPr>
          <w:sz w:val="20"/>
        </w:rPr>
      </w:pPr>
      <w:r>
        <w:rPr>
          <w:sz w:val="20"/>
        </w:rPr>
        <w:t>(</w:t>
      </w:r>
      <w:r w:rsidR="00590852">
        <w:rPr>
          <w:sz w:val="20"/>
        </w:rPr>
        <w:t>7</w:t>
      </w:r>
      <w:r>
        <w:rPr>
          <w:sz w:val="20"/>
        </w:rPr>
        <w:t xml:space="preserve">) According to the "essential facilities" doctrine, a company is guilty of monopolization if one can show all of the following, </w:t>
      </w:r>
      <w:r w:rsidRPr="00753B11">
        <w:rPr>
          <w:i/>
          <w:sz w:val="20"/>
        </w:rPr>
        <w:t>except</w:t>
      </w:r>
    </w:p>
    <w:p w:rsidR="002B2718" w:rsidRPr="004E14C6" w:rsidRDefault="002B2718" w:rsidP="004E14C6">
      <w:pPr>
        <w:pStyle w:val="ListParagraph"/>
        <w:numPr>
          <w:ilvl w:val="0"/>
          <w:numId w:val="21"/>
        </w:numPr>
        <w:rPr>
          <w:sz w:val="20"/>
        </w:rPr>
      </w:pPr>
      <w:proofErr w:type="gramStart"/>
      <w:r w:rsidRPr="004E14C6">
        <w:rPr>
          <w:sz w:val="20"/>
        </w:rPr>
        <w:t>control</w:t>
      </w:r>
      <w:proofErr w:type="gramEnd"/>
      <w:r w:rsidRPr="004E14C6">
        <w:rPr>
          <w:sz w:val="20"/>
        </w:rPr>
        <w:t xml:space="preserve"> of the facility by a monopolist.</w:t>
      </w:r>
    </w:p>
    <w:p w:rsidR="002B2718" w:rsidRPr="004E14C6" w:rsidRDefault="004E14C6" w:rsidP="004E14C6">
      <w:pPr>
        <w:pStyle w:val="ListParagraph"/>
        <w:numPr>
          <w:ilvl w:val="0"/>
          <w:numId w:val="21"/>
        </w:numPr>
        <w:rPr>
          <w:sz w:val="20"/>
        </w:rPr>
      </w:pPr>
      <w:proofErr w:type="gramStart"/>
      <w:r w:rsidRPr="004E14C6">
        <w:rPr>
          <w:sz w:val="20"/>
        </w:rPr>
        <w:t>the</w:t>
      </w:r>
      <w:proofErr w:type="gramEnd"/>
      <w:r w:rsidR="002B2718" w:rsidRPr="004E14C6">
        <w:rPr>
          <w:sz w:val="20"/>
        </w:rPr>
        <w:t xml:space="preserve"> competitor's inability to duplicate the facility.</w:t>
      </w:r>
    </w:p>
    <w:p w:rsidR="002B2718" w:rsidRPr="004E14C6" w:rsidRDefault="002B2718" w:rsidP="004E14C6">
      <w:pPr>
        <w:pStyle w:val="ListParagraph"/>
        <w:numPr>
          <w:ilvl w:val="0"/>
          <w:numId w:val="21"/>
        </w:numPr>
        <w:rPr>
          <w:sz w:val="20"/>
        </w:rPr>
      </w:pPr>
      <w:proofErr w:type="gramStart"/>
      <w:r w:rsidRPr="004E14C6">
        <w:rPr>
          <w:sz w:val="20"/>
        </w:rPr>
        <w:t>denial</w:t>
      </w:r>
      <w:proofErr w:type="gramEnd"/>
      <w:r w:rsidRPr="004E14C6">
        <w:rPr>
          <w:sz w:val="20"/>
        </w:rPr>
        <w:t xml:space="preserve"> of </w:t>
      </w:r>
      <w:r w:rsidR="004E14C6" w:rsidRPr="004E14C6">
        <w:rPr>
          <w:sz w:val="20"/>
        </w:rPr>
        <w:t>use of facility to the competitor</w:t>
      </w:r>
      <w:r w:rsidRPr="004E14C6">
        <w:rPr>
          <w:sz w:val="20"/>
        </w:rPr>
        <w:t>.</w:t>
      </w:r>
    </w:p>
    <w:p w:rsidR="00D365F4" w:rsidRPr="004E14C6" w:rsidRDefault="00D365F4" w:rsidP="00D365F4">
      <w:pPr>
        <w:pStyle w:val="ListParagraph"/>
        <w:numPr>
          <w:ilvl w:val="0"/>
          <w:numId w:val="21"/>
        </w:numPr>
        <w:rPr>
          <w:sz w:val="20"/>
        </w:rPr>
      </w:pPr>
      <w:proofErr w:type="gramStart"/>
      <w:r w:rsidRPr="004E14C6">
        <w:rPr>
          <w:sz w:val="20"/>
        </w:rPr>
        <w:t>a</w:t>
      </w:r>
      <w:proofErr w:type="gramEnd"/>
      <w:r w:rsidRPr="004E14C6">
        <w:rPr>
          <w:sz w:val="20"/>
        </w:rPr>
        <w:t xml:space="preserve"> difference in price between the monopolist and the competitor.</w:t>
      </w:r>
    </w:p>
    <w:p w:rsidR="002B2718" w:rsidRPr="004E14C6" w:rsidRDefault="004E14C6" w:rsidP="004E14C6">
      <w:pPr>
        <w:pStyle w:val="ListParagraph"/>
        <w:numPr>
          <w:ilvl w:val="0"/>
          <w:numId w:val="21"/>
        </w:numPr>
        <w:rPr>
          <w:sz w:val="20"/>
        </w:rPr>
      </w:pPr>
      <w:proofErr w:type="gramStart"/>
      <w:r w:rsidRPr="004E14C6">
        <w:rPr>
          <w:sz w:val="20"/>
        </w:rPr>
        <w:t>the</w:t>
      </w:r>
      <w:proofErr w:type="gramEnd"/>
      <w:r w:rsidR="002B2718" w:rsidRPr="004E14C6">
        <w:rPr>
          <w:sz w:val="20"/>
        </w:rPr>
        <w:t xml:space="preserve"> feasib</w:t>
      </w:r>
      <w:r w:rsidRPr="004E14C6">
        <w:rPr>
          <w:sz w:val="20"/>
        </w:rPr>
        <w:t>i</w:t>
      </w:r>
      <w:r w:rsidR="002B2718" w:rsidRPr="004E14C6">
        <w:rPr>
          <w:sz w:val="20"/>
        </w:rPr>
        <w:t>l</w:t>
      </w:r>
      <w:r w:rsidRPr="004E14C6">
        <w:rPr>
          <w:sz w:val="20"/>
        </w:rPr>
        <w:t xml:space="preserve">ity of providing the facility to </w:t>
      </w:r>
      <w:r>
        <w:rPr>
          <w:sz w:val="20"/>
        </w:rPr>
        <w:t xml:space="preserve">the </w:t>
      </w:r>
      <w:r w:rsidRPr="004E14C6">
        <w:rPr>
          <w:sz w:val="20"/>
        </w:rPr>
        <w:t>competitor</w:t>
      </w:r>
      <w:r w:rsidR="002B2718" w:rsidRPr="004E14C6">
        <w:rPr>
          <w:sz w:val="20"/>
        </w:rPr>
        <w:t>.</w:t>
      </w:r>
    </w:p>
    <w:p w:rsidR="002B2718" w:rsidRDefault="002B2718" w:rsidP="00DC76AA">
      <w:pPr>
        <w:rPr>
          <w:sz w:val="20"/>
        </w:rPr>
      </w:pPr>
    </w:p>
    <w:p w:rsidR="009E7D3C" w:rsidRDefault="009E7D3C" w:rsidP="009E7D3C">
      <w:pPr>
        <w:rPr>
          <w:sz w:val="20"/>
        </w:rPr>
      </w:pPr>
      <w:r>
        <w:rPr>
          <w:sz w:val="20"/>
        </w:rPr>
        <w:t>(</w:t>
      </w:r>
      <w:r w:rsidR="00590852">
        <w:rPr>
          <w:sz w:val="20"/>
        </w:rPr>
        <w:t>8</w:t>
      </w:r>
      <w:r>
        <w:rPr>
          <w:sz w:val="20"/>
        </w:rPr>
        <w:t xml:space="preserve">) </w:t>
      </w:r>
      <w:r w:rsidR="00590852">
        <w:rPr>
          <w:sz w:val="20"/>
        </w:rPr>
        <w:t xml:space="preserve">Suppose demand for a particular software product is </w:t>
      </w:r>
      <w:r w:rsidR="00590852" w:rsidRPr="001740C1">
        <w:rPr>
          <w:i/>
          <w:sz w:val="20"/>
        </w:rPr>
        <w:t>more elastic</w:t>
      </w:r>
      <w:r w:rsidR="00590852">
        <w:rPr>
          <w:sz w:val="20"/>
        </w:rPr>
        <w:t xml:space="preserve"> among teachers than among business persons.  The software maker wants to maximize profit.  If the software maker can set different prices for each </w:t>
      </w:r>
      <w:r w:rsidR="001740C1">
        <w:rPr>
          <w:sz w:val="20"/>
        </w:rPr>
        <w:t xml:space="preserve">market </w:t>
      </w:r>
      <w:r w:rsidR="00590852">
        <w:rPr>
          <w:sz w:val="20"/>
        </w:rPr>
        <w:t>segment, then</w:t>
      </w:r>
    </w:p>
    <w:p w:rsidR="009E7D3C" w:rsidRDefault="00590852" w:rsidP="009E7D3C">
      <w:pPr>
        <w:numPr>
          <w:ilvl w:val="0"/>
          <w:numId w:val="6"/>
        </w:numPr>
        <w:rPr>
          <w:sz w:val="20"/>
        </w:rPr>
      </w:pPr>
      <w:proofErr w:type="gramStart"/>
      <w:r>
        <w:rPr>
          <w:sz w:val="20"/>
        </w:rPr>
        <w:t>teachers</w:t>
      </w:r>
      <w:proofErr w:type="gramEnd"/>
      <w:r>
        <w:rPr>
          <w:sz w:val="20"/>
        </w:rPr>
        <w:t xml:space="preserve"> should get the </w:t>
      </w:r>
      <w:r w:rsidR="00D365F4">
        <w:rPr>
          <w:sz w:val="20"/>
        </w:rPr>
        <w:t>higher</w:t>
      </w:r>
      <w:r>
        <w:rPr>
          <w:sz w:val="20"/>
        </w:rPr>
        <w:t xml:space="preserve"> price</w:t>
      </w:r>
      <w:r w:rsidR="009E7D3C">
        <w:rPr>
          <w:sz w:val="20"/>
        </w:rPr>
        <w:t>.</w:t>
      </w:r>
    </w:p>
    <w:p w:rsidR="009E7D3C" w:rsidRDefault="00590852" w:rsidP="009E7D3C">
      <w:pPr>
        <w:numPr>
          <w:ilvl w:val="0"/>
          <w:numId w:val="6"/>
        </w:numPr>
        <w:rPr>
          <w:sz w:val="20"/>
        </w:rPr>
      </w:pPr>
      <w:proofErr w:type="gramStart"/>
      <w:r>
        <w:rPr>
          <w:sz w:val="20"/>
        </w:rPr>
        <w:t>business</w:t>
      </w:r>
      <w:proofErr w:type="gramEnd"/>
      <w:r>
        <w:rPr>
          <w:sz w:val="20"/>
        </w:rPr>
        <w:t xml:space="preserve"> persons should get the </w:t>
      </w:r>
      <w:r w:rsidR="00D365F4">
        <w:rPr>
          <w:sz w:val="20"/>
        </w:rPr>
        <w:t>high</w:t>
      </w:r>
      <w:r>
        <w:rPr>
          <w:sz w:val="20"/>
        </w:rPr>
        <w:t>er price</w:t>
      </w:r>
      <w:r w:rsidR="009E7D3C">
        <w:rPr>
          <w:sz w:val="20"/>
        </w:rPr>
        <w:t>.</w:t>
      </w:r>
    </w:p>
    <w:p w:rsidR="00BF2EA6" w:rsidRDefault="00590852" w:rsidP="00BF2EA6">
      <w:pPr>
        <w:numPr>
          <w:ilvl w:val="0"/>
          <w:numId w:val="6"/>
        </w:numPr>
        <w:rPr>
          <w:sz w:val="20"/>
        </w:rPr>
      </w:pPr>
      <w:proofErr w:type="gramStart"/>
      <w:r>
        <w:rPr>
          <w:sz w:val="20"/>
        </w:rPr>
        <w:t>both</w:t>
      </w:r>
      <w:proofErr w:type="gramEnd"/>
      <w:r>
        <w:rPr>
          <w:sz w:val="20"/>
        </w:rPr>
        <w:t xml:space="preserve"> segments should get the same price, because the</w:t>
      </w:r>
      <w:r w:rsidR="00BF2EA6">
        <w:rPr>
          <w:sz w:val="20"/>
        </w:rPr>
        <w:t xml:space="preserve"> marginal cost</w:t>
      </w:r>
      <w:r>
        <w:rPr>
          <w:sz w:val="20"/>
        </w:rPr>
        <w:t xml:space="preserve"> is</w:t>
      </w:r>
      <w:r w:rsidR="00BF2EA6">
        <w:rPr>
          <w:sz w:val="20"/>
        </w:rPr>
        <w:t xml:space="preserve"> the same.</w:t>
      </w:r>
    </w:p>
    <w:p w:rsidR="009E7D3C" w:rsidRDefault="009E7D3C" w:rsidP="009E7D3C">
      <w:pPr>
        <w:numPr>
          <w:ilvl w:val="0"/>
          <w:numId w:val="6"/>
        </w:numPr>
        <w:rPr>
          <w:sz w:val="20"/>
        </w:rPr>
      </w:pPr>
      <w:proofErr w:type="gramStart"/>
      <w:r>
        <w:rPr>
          <w:sz w:val="20"/>
        </w:rPr>
        <w:t>cannot</w:t>
      </w:r>
      <w:proofErr w:type="gramEnd"/>
      <w:r>
        <w:rPr>
          <w:sz w:val="20"/>
        </w:rPr>
        <w:t xml:space="preserve"> be determined from information given.</w:t>
      </w:r>
    </w:p>
    <w:p w:rsidR="009E7D3C" w:rsidRDefault="009E7D3C" w:rsidP="009E7D3C">
      <w:pPr>
        <w:rPr>
          <w:sz w:val="20"/>
        </w:rPr>
      </w:pPr>
    </w:p>
    <w:p w:rsidR="009E7D3C" w:rsidRDefault="009E7D3C" w:rsidP="009E7D3C">
      <w:pPr>
        <w:rPr>
          <w:sz w:val="20"/>
        </w:rPr>
      </w:pPr>
      <w:r>
        <w:rPr>
          <w:sz w:val="20"/>
        </w:rPr>
        <w:t>(</w:t>
      </w:r>
      <w:r w:rsidR="00590852">
        <w:rPr>
          <w:sz w:val="20"/>
        </w:rPr>
        <w:t>9</w:t>
      </w:r>
      <w:r>
        <w:rPr>
          <w:sz w:val="20"/>
        </w:rPr>
        <w:t>) Compared to single-price monopoly, market-segmenting price discrimination</w:t>
      </w:r>
    </w:p>
    <w:p w:rsidR="00D365F4" w:rsidRDefault="00D365F4" w:rsidP="00D365F4">
      <w:pPr>
        <w:numPr>
          <w:ilvl w:val="0"/>
          <w:numId w:val="7"/>
        </w:numPr>
        <w:rPr>
          <w:sz w:val="20"/>
        </w:rPr>
      </w:pPr>
      <w:proofErr w:type="gramStart"/>
      <w:r>
        <w:rPr>
          <w:sz w:val="20"/>
        </w:rPr>
        <w:t>may</w:t>
      </w:r>
      <w:proofErr w:type="gramEnd"/>
      <w:r>
        <w:rPr>
          <w:sz w:val="20"/>
        </w:rPr>
        <w:t xml:space="preserve"> increase or decrease social welfare.</w:t>
      </w:r>
    </w:p>
    <w:p w:rsidR="001740C1" w:rsidRDefault="001740C1" w:rsidP="001740C1">
      <w:pPr>
        <w:numPr>
          <w:ilvl w:val="0"/>
          <w:numId w:val="7"/>
        </w:numPr>
        <w:rPr>
          <w:sz w:val="20"/>
        </w:rPr>
      </w:pPr>
      <w:proofErr w:type="gramStart"/>
      <w:r>
        <w:rPr>
          <w:sz w:val="20"/>
        </w:rPr>
        <w:t>always</w:t>
      </w:r>
      <w:proofErr w:type="gramEnd"/>
      <w:r>
        <w:rPr>
          <w:sz w:val="20"/>
        </w:rPr>
        <w:t xml:space="preserve"> increases social welfare.</w:t>
      </w:r>
    </w:p>
    <w:p w:rsidR="001740C1" w:rsidRDefault="001740C1" w:rsidP="001740C1">
      <w:pPr>
        <w:numPr>
          <w:ilvl w:val="0"/>
          <w:numId w:val="7"/>
        </w:numPr>
        <w:rPr>
          <w:sz w:val="20"/>
        </w:rPr>
      </w:pPr>
      <w:proofErr w:type="gramStart"/>
      <w:r>
        <w:rPr>
          <w:sz w:val="20"/>
        </w:rPr>
        <w:t>always</w:t>
      </w:r>
      <w:proofErr w:type="gramEnd"/>
      <w:r>
        <w:rPr>
          <w:sz w:val="20"/>
        </w:rPr>
        <w:t xml:space="preserve"> decreases social welfare.</w:t>
      </w:r>
    </w:p>
    <w:p w:rsidR="00BF2EA6" w:rsidRDefault="001740C1" w:rsidP="00BF2EA6">
      <w:pPr>
        <w:numPr>
          <w:ilvl w:val="0"/>
          <w:numId w:val="7"/>
        </w:numPr>
        <w:rPr>
          <w:sz w:val="20"/>
        </w:rPr>
      </w:pPr>
      <w:proofErr w:type="gramStart"/>
      <w:r>
        <w:rPr>
          <w:sz w:val="20"/>
        </w:rPr>
        <w:t>results</w:t>
      </w:r>
      <w:proofErr w:type="gramEnd"/>
      <w:r>
        <w:rPr>
          <w:sz w:val="20"/>
        </w:rPr>
        <w:t xml:space="preserve"> in no change in</w:t>
      </w:r>
      <w:r w:rsidR="002B6DE3">
        <w:rPr>
          <w:sz w:val="20"/>
        </w:rPr>
        <w:t xml:space="preserve"> </w:t>
      </w:r>
      <w:r w:rsidR="00BF2EA6">
        <w:rPr>
          <w:sz w:val="20"/>
        </w:rPr>
        <w:t>social welfare.</w:t>
      </w:r>
    </w:p>
    <w:p w:rsidR="009E7D3C" w:rsidRDefault="009E7D3C" w:rsidP="009E7D3C">
      <w:pPr>
        <w:rPr>
          <w:sz w:val="20"/>
        </w:rPr>
      </w:pPr>
    </w:p>
    <w:p w:rsidR="009E7D3C" w:rsidRDefault="001740C1" w:rsidP="009E7D3C">
      <w:pPr>
        <w:rPr>
          <w:sz w:val="20"/>
        </w:rPr>
      </w:pPr>
      <w:r>
        <w:rPr>
          <w:sz w:val="20"/>
        </w:rPr>
        <w:br w:type="column"/>
      </w:r>
      <w:r w:rsidR="009E7D3C">
        <w:rPr>
          <w:sz w:val="20"/>
        </w:rPr>
        <w:lastRenderedPageBreak/>
        <w:t>(</w:t>
      </w:r>
      <w:r w:rsidR="00590852">
        <w:rPr>
          <w:sz w:val="20"/>
        </w:rPr>
        <w:t>10</w:t>
      </w:r>
      <w:r w:rsidR="009E7D3C">
        <w:rPr>
          <w:sz w:val="20"/>
        </w:rPr>
        <w:t>) The Robinson-</w:t>
      </w:r>
      <w:proofErr w:type="spellStart"/>
      <w:r w:rsidR="009E7D3C">
        <w:rPr>
          <w:sz w:val="20"/>
        </w:rPr>
        <w:t>Patman</w:t>
      </w:r>
      <w:proofErr w:type="spellEnd"/>
      <w:r w:rsidR="009E7D3C">
        <w:rPr>
          <w:sz w:val="20"/>
        </w:rPr>
        <w:t xml:space="preserve"> Act was passed </w:t>
      </w:r>
      <w:r w:rsidR="008B2132">
        <w:rPr>
          <w:sz w:val="20"/>
        </w:rPr>
        <w:t xml:space="preserve">in 1936 </w:t>
      </w:r>
      <w:r w:rsidR="009E7D3C">
        <w:rPr>
          <w:sz w:val="20"/>
        </w:rPr>
        <w:t>to protect</w:t>
      </w:r>
    </w:p>
    <w:p w:rsidR="00D365F4" w:rsidRDefault="00D365F4" w:rsidP="00D365F4">
      <w:pPr>
        <w:numPr>
          <w:ilvl w:val="0"/>
          <w:numId w:val="8"/>
        </w:numPr>
        <w:rPr>
          <w:sz w:val="20"/>
        </w:rPr>
      </w:pPr>
      <w:proofErr w:type="gramStart"/>
      <w:r>
        <w:rPr>
          <w:sz w:val="20"/>
        </w:rPr>
        <w:t>manufacturers</w:t>
      </w:r>
      <w:proofErr w:type="gramEnd"/>
      <w:r>
        <w:rPr>
          <w:sz w:val="20"/>
        </w:rPr>
        <w:t>.</w:t>
      </w:r>
    </w:p>
    <w:p w:rsidR="00D365F4" w:rsidRDefault="00D365F4" w:rsidP="00D365F4">
      <w:pPr>
        <w:numPr>
          <w:ilvl w:val="0"/>
          <w:numId w:val="8"/>
        </w:numPr>
        <w:rPr>
          <w:sz w:val="20"/>
        </w:rPr>
      </w:pPr>
      <w:proofErr w:type="gramStart"/>
      <w:r>
        <w:rPr>
          <w:sz w:val="20"/>
        </w:rPr>
        <w:t>consumers</w:t>
      </w:r>
      <w:proofErr w:type="gramEnd"/>
      <w:r>
        <w:rPr>
          <w:sz w:val="20"/>
        </w:rPr>
        <w:t>.</w:t>
      </w:r>
    </w:p>
    <w:p w:rsidR="001740C1" w:rsidRDefault="001740C1" w:rsidP="001740C1">
      <w:pPr>
        <w:numPr>
          <w:ilvl w:val="0"/>
          <w:numId w:val="8"/>
        </w:numPr>
        <w:rPr>
          <w:sz w:val="20"/>
        </w:rPr>
      </w:pPr>
      <w:proofErr w:type="gramStart"/>
      <w:r>
        <w:rPr>
          <w:sz w:val="20"/>
        </w:rPr>
        <w:t>large</w:t>
      </w:r>
      <w:proofErr w:type="gramEnd"/>
      <w:r>
        <w:rPr>
          <w:sz w:val="20"/>
        </w:rPr>
        <w:t xml:space="preserve"> chain stores.</w:t>
      </w:r>
    </w:p>
    <w:p w:rsidR="00BF2EA6" w:rsidRDefault="00590852" w:rsidP="00BF2EA6">
      <w:pPr>
        <w:numPr>
          <w:ilvl w:val="0"/>
          <w:numId w:val="8"/>
        </w:numPr>
        <w:rPr>
          <w:sz w:val="20"/>
        </w:rPr>
      </w:pPr>
      <w:proofErr w:type="gramStart"/>
      <w:r>
        <w:rPr>
          <w:sz w:val="20"/>
        </w:rPr>
        <w:t>small</w:t>
      </w:r>
      <w:proofErr w:type="gramEnd"/>
      <w:r>
        <w:rPr>
          <w:sz w:val="20"/>
        </w:rPr>
        <w:t xml:space="preserve"> </w:t>
      </w:r>
      <w:r w:rsidR="00BF2EA6">
        <w:rPr>
          <w:sz w:val="20"/>
        </w:rPr>
        <w:t>independent retailers.</w:t>
      </w:r>
    </w:p>
    <w:p w:rsidR="00BF2EA6" w:rsidRDefault="00BF2EA6" w:rsidP="009E7D3C">
      <w:pPr>
        <w:numPr>
          <w:ilvl w:val="0"/>
          <w:numId w:val="8"/>
        </w:numPr>
        <w:rPr>
          <w:sz w:val="20"/>
        </w:rPr>
      </w:pPr>
      <w:proofErr w:type="gramStart"/>
      <w:r>
        <w:rPr>
          <w:sz w:val="20"/>
        </w:rPr>
        <w:t>all</w:t>
      </w:r>
      <w:proofErr w:type="gramEnd"/>
      <w:r>
        <w:rPr>
          <w:sz w:val="20"/>
        </w:rPr>
        <w:t xml:space="preserve"> of the above.</w:t>
      </w:r>
    </w:p>
    <w:p w:rsidR="00BF6707" w:rsidRDefault="00BF6707" w:rsidP="00FE6A43">
      <w:pPr>
        <w:rPr>
          <w:sz w:val="20"/>
          <w:szCs w:val="20"/>
        </w:rPr>
      </w:pPr>
    </w:p>
    <w:p w:rsidR="004E14C6" w:rsidRDefault="00BF6707" w:rsidP="001740C1">
      <w:pPr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E14C6" w:rsidRDefault="004E14C6" w:rsidP="00FE6A43">
      <w:pPr>
        <w:rPr>
          <w:sz w:val="20"/>
          <w:szCs w:val="20"/>
        </w:rPr>
      </w:pPr>
    </w:p>
    <w:p w:rsidR="004E14C6" w:rsidRDefault="004E14C6" w:rsidP="00FE6A43">
      <w:pPr>
        <w:rPr>
          <w:sz w:val="20"/>
          <w:szCs w:val="20"/>
        </w:rPr>
      </w:pPr>
    </w:p>
    <w:p w:rsidR="00631AED" w:rsidRDefault="00631AED" w:rsidP="00FE6A43">
      <w:pPr>
        <w:rPr>
          <w:sz w:val="20"/>
          <w:szCs w:val="20"/>
        </w:rPr>
        <w:sectPr w:rsidR="00631AED" w:rsidSect="00DC447F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3C2FB9" w:rsidRDefault="003C2FB9" w:rsidP="00631AED">
      <w:pPr>
        <w:rPr>
          <w:sz w:val="20"/>
        </w:rPr>
      </w:pPr>
    </w:p>
    <w:p w:rsidR="00BE4824" w:rsidRDefault="00BE4824" w:rsidP="00631AED">
      <w:pPr>
        <w:rPr>
          <w:sz w:val="20"/>
        </w:rPr>
      </w:pPr>
    </w:p>
    <w:p w:rsidR="008B2132" w:rsidRPr="00631AED" w:rsidRDefault="008B2132" w:rsidP="00BF6707">
      <w:pPr>
        <w:pBdr>
          <w:bottom w:val="single" w:sz="4" w:space="1" w:color="auto"/>
        </w:pBdr>
        <w:rPr>
          <w:sz w:val="20"/>
        </w:rPr>
      </w:pPr>
    </w:p>
    <w:p w:rsidR="00631AED" w:rsidRPr="00631AED" w:rsidRDefault="00631AED" w:rsidP="00DC76AA">
      <w:pPr>
        <w:rPr>
          <w:sz w:val="20"/>
        </w:rPr>
      </w:pPr>
    </w:p>
    <w:p w:rsidR="00287C6E" w:rsidRDefault="00287C6E" w:rsidP="00631AED">
      <w:pPr>
        <w:rPr>
          <w:sz w:val="20"/>
        </w:rPr>
      </w:pPr>
      <w:r>
        <w:rPr>
          <w:b/>
          <w:sz w:val="20"/>
        </w:rPr>
        <w:t>II</w:t>
      </w:r>
      <w:proofErr w:type="gramStart"/>
      <w:r>
        <w:rPr>
          <w:b/>
          <w:sz w:val="20"/>
        </w:rPr>
        <w:t>.  Problems</w:t>
      </w:r>
      <w:proofErr w:type="gramEnd"/>
      <w:r>
        <w:rPr>
          <w:b/>
          <w:sz w:val="20"/>
        </w:rPr>
        <w:t>:</w:t>
      </w:r>
      <w:r>
        <w:rPr>
          <w:sz w:val="20"/>
        </w:rPr>
        <w:t xml:space="preserve">  Insert your answer to each question below in the box provided.  </w:t>
      </w:r>
      <w:r w:rsidR="00753B11">
        <w:rPr>
          <w:sz w:val="20"/>
        </w:rPr>
        <w:t>Use margins and graphs</w:t>
      </w:r>
      <w:r>
        <w:rPr>
          <w:sz w:val="20"/>
        </w:rPr>
        <w:t xml:space="preserve"> for scratch work</w:t>
      </w:r>
      <w:r>
        <w:rPr>
          <w:sz w:val="20"/>
        </w:rPr>
        <w:sym w:font="Symbol" w:char="F0BE"/>
      </w:r>
      <w:r>
        <w:rPr>
          <w:sz w:val="20"/>
        </w:rPr>
        <w:t>only the answers in the boxes will be graded.  Work carefully</w:t>
      </w:r>
      <w:r>
        <w:rPr>
          <w:sz w:val="20"/>
        </w:rPr>
        <w:sym w:font="Symbol" w:char="F0BE"/>
      </w:r>
      <w:r>
        <w:rPr>
          <w:sz w:val="20"/>
        </w:rPr>
        <w:t>partial credit is not normally given for questions in this section.</w:t>
      </w:r>
    </w:p>
    <w:p w:rsidR="00901721" w:rsidRDefault="00901721" w:rsidP="00593025">
      <w:pPr>
        <w:rPr>
          <w:sz w:val="20"/>
          <w:szCs w:val="20"/>
        </w:rPr>
      </w:pPr>
    </w:p>
    <w:p w:rsidR="00DC76AA" w:rsidRDefault="00DC76AA" w:rsidP="00593025">
      <w:pPr>
        <w:rPr>
          <w:sz w:val="20"/>
          <w:szCs w:val="20"/>
        </w:rPr>
      </w:pPr>
    </w:p>
    <w:p w:rsidR="001740C1" w:rsidRDefault="001740C1" w:rsidP="00593025">
      <w:pPr>
        <w:rPr>
          <w:sz w:val="20"/>
          <w:szCs w:val="20"/>
        </w:rPr>
      </w:pPr>
    </w:p>
    <w:p w:rsidR="001740C1" w:rsidRDefault="001740C1" w:rsidP="00593025">
      <w:pPr>
        <w:rPr>
          <w:sz w:val="20"/>
          <w:szCs w:val="20"/>
        </w:rPr>
      </w:pPr>
    </w:p>
    <w:p w:rsidR="00C73AC3" w:rsidRDefault="00C73AC3" w:rsidP="00C73AC3">
      <w:pPr>
        <w:rPr>
          <w:sz w:val="20"/>
          <w:szCs w:val="20"/>
        </w:rPr>
      </w:pPr>
      <w:r>
        <w:rPr>
          <w:sz w:val="20"/>
          <w:szCs w:val="20"/>
        </w:rPr>
        <w:t>(1) [</w:t>
      </w:r>
      <w:r w:rsidR="002B6DE3">
        <w:rPr>
          <w:sz w:val="20"/>
          <w:szCs w:val="20"/>
        </w:rPr>
        <w:t>Cases</w:t>
      </w:r>
      <w:r>
        <w:rPr>
          <w:sz w:val="20"/>
          <w:szCs w:val="20"/>
        </w:rPr>
        <w:t xml:space="preserve">: </w:t>
      </w:r>
      <w:r w:rsidR="0071623D">
        <w:rPr>
          <w:sz w:val="20"/>
          <w:szCs w:val="20"/>
        </w:rPr>
        <w:t>1</w:t>
      </w:r>
      <w:r w:rsidR="002B6DE3">
        <w:rPr>
          <w:sz w:val="20"/>
          <w:szCs w:val="20"/>
        </w:rPr>
        <w:t>0</w:t>
      </w:r>
      <w:r>
        <w:rPr>
          <w:sz w:val="20"/>
          <w:szCs w:val="20"/>
        </w:rPr>
        <w:t xml:space="preserve"> pts</w:t>
      </w:r>
      <w:proofErr w:type="gramStart"/>
      <w:r>
        <w:rPr>
          <w:sz w:val="20"/>
          <w:szCs w:val="20"/>
        </w:rPr>
        <w:t>]  Consider</w:t>
      </w:r>
      <w:proofErr w:type="gramEnd"/>
      <w:r>
        <w:rPr>
          <w:sz w:val="20"/>
          <w:szCs w:val="20"/>
        </w:rPr>
        <w:t xml:space="preserve"> the following </w:t>
      </w:r>
      <w:r w:rsidR="002B6DE3">
        <w:rPr>
          <w:sz w:val="20"/>
          <w:szCs w:val="20"/>
        </w:rPr>
        <w:t xml:space="preserve">list of </w:t>
      </w:r>
      <w:r>
        <w:rPr>
          <w:sz w:val="20"/>
          <w:szCs w:val="20"/>
        </w:rPr>
        <w:t>important cases:</w:t>
      </w:r>
    </w:p>
    <w:tbl>
      <w:tblPr>
        <w:tblW w:w="0" w:type="auto"/>
        <w:tblLook w:val="01E0"/>
      </w:tblPr>
      <w:tblGrid>
        <w:gridCol w:w="4788"/>
        <w:gridCol w:w="4788"/>
      </w:tblGrid>
      <w:tr w:rsidR="00C73AC3" w:rsidRPr="00DC4955" w:rsidTr="004B444C">
        <w:tc>
          <w:tcPr>
            <w:tcW w:w="4788" w:type="dxa"/>
          </w:tcPr>
          <w:p w:rsidR="00C73AC3" w:rsidRDefault="00C73AC3" w:rsidP="00C73AC3">
            <w:pPr>
              <w:numPr>
                <w:ilvl w:val="0"/>
                <w:numId w:val="17"/>
              </w:numPr>
              <w:tabs>
                <w:tab w:val="clear" w:pos="1080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Standard Oil v.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</w:rPr>
                  <w:t>U.S</w:t>
                </w:r>
                <w:r w:rsidR="00C75103">
                  <w:rPr>
                    <w:sz w:val="20"/>
                  </w:rPr>
                  <w:t>.</w:t>
                </w:r>
              </w:smartTag>
            </w:smartTag>
            <w:r>
              <w:rPr>
                <w:sz w:val="20"/>
              </w:rPr>
              <w:t xml:space="preserve"> (1911).</w:t>
            </w:r>
          </w:p>
          <w:p w:rsidR="00C73AC3" w:rsidRPr="00DC4955" w:rsidRDefault="00C73AC3" w:rsidP="00C73AC3">
            <w:pPr>
              <w:numPr>
                <w:ilvl w:val="0"/>
                <w:numId w:val="17"/>
              </w:numPr>
              <w:tabs>
                <w:tab w:val="clear" w:pos="1080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sz w:val="20"/>
              </w:rPr>
            </w:pPr>
            <w:smartTag w:uri="urn:schemas-microsoft-com:office:smarttags" w:element="country-region">
              <w:r>
                <w:rPr>
                  <w:sz w:val="20"/>
                </w:rPr>
                <w:t>U.S.</w:t>
              </w:r>
            </w:smartTag>
            <w:r>
              <w:rPr>
                <w:sz w:val="20"/>
              </w:rPr>
              <w:t xml:space="preserve"> v.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</w:rPr>
                  <w:t>U.S.</w:t>
                </w:r>
              </w:smartTag>
            </w:smartTag>
            <w:r>
              <w:rPr>
                <w:sz w:val="20"/>
              </w:rPr>
              <w:t xml:space="preserve"> Steel (1920).</w:t>
            </w:r>
          </w:p>
          <w:p w:rsidR="00C73AC3" w:rsidRDefault="00C73AC3" w:rsidP="00C73AC3">
            <w:pPr>
              <w:numPr>
                <w:ilvl w:val="0"/>
                <w:numId w:val="17"/>
              </w:numPr>
              <w:tabs>
                <w:tab w:val="clear" w:pos="1080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</w:rPr>
                  <w:t>U.S.</w:t>
                </w:r>
              </w:smartTag>
            </w:smartTag>
            <w:r>
              <w:rPr>
                <w:sz w:val="20"/>
              </w:rPr>
              <w:t xml:space="preserve"> v. Alcoa (1945).</w:t>
            </w:r>
          </w:p>
          <w:p w:rsidR="00C73AC3" w:rsidRPr="00DC4955" w:rsidRDefault="00C73AC3" w:rsidP="00C73AC3">
            <w:pPr>
              <w:numPr>
                <w:ilvl w:val="0"/>
                <w:numId w:val="17"/>
              </w:numPr>
              <w:tabs>
                <w:tab w:val="clear" w:pos="1080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</w:rPr>
                  <w:t>U.S.</w:t>
                </w:r>
              </w:smartTag>
            </w:smartTag>
            <w:r>
              <w:rPr>
                <w:sz w:val="20"/>
              </w:rPr>
              <w:t xml:space="preserve"> v. United Shoe Machinery (1953).</w:t>
            </w:r>
          </w:p>
        </w:tc>
        <w:tc>
          <w:tcPr>
            <w:tcW w:w="4788" w:type="dxa"/>
          </w:tcPr>
          <w:p w:rsidR="001740C1" w:rsidRDefault="001740C1" w:rsidP="00C73AC3">
            <w:pPr>
              <w:numPr>
                <w:ilvl w:val="0"/>
                <w:numId w:val="17"/>
              </w:numPr>
              <w:tabs>
                <w:tab w:val="clear" w:pos="1080"/>
              </w:tabs>
              <w:overflowPunct w:val="0"/>
              <w:autoSpaceDE w:val="0"/>
              <w:autoSpaceDN w:val="0"/>
              <w:adjustRightInd w:val="0"/>
              <w:ind w:left="612"/>
              <w:textAlignment w:val="baseline"/>
              <w:rPr>
                <w:sz w:val="20"/>
              </w:rPr>
            </w:pPr>
            <w:r>
              <w:rPr>
                <w:sz w:val="20"/>
              </w:rPr>
              <w:t>U.S. v. Grinnell Corps (1966).</w:t>
            </w:r>
          </w:p>
          <w:p w:rsidR="00C73AC3" w:rsidRPr="00DC4955" w:rsidRDefault="00C73AC3" w:rsidP="00C73AC3">
            <w:pPr>
              <w:numPr>
                <w:ilvl w:val="0"/>
                <w:numId w:val="17"/>
              </w:numPr>
              <w:tabs>
                <w:tab w:val="clear" w:pos="1080"/>
              </w:tabs>
              <w:overflowPunct w:val="0"/>
              <w:autoSpaceDE w:val="0"/>
              <w:autoSpaceDN w:val="0"/>
              <w:adjustRightInd w:val="0"/>
              <w:ind w:left="612"/>
              <w:textAlignment w:val="baseline"/>
              <w:rPr>
                <w:sz w:val="20"/>
              </w:rPr>
            </w:pPr>
            <w:r>
              <w:rPr>
                <w:sz w:val="20"/>
              </w:rPr>
              <w:t>Utah Pie v. Continental Baking (1967).</w:t>
            </w:r>
          </w:p>
          <w:p w:rsidR="00C73AC3" w:rsidRPr="00DC4955" w:rsidRDefault="00C73AC3" w:rsidP="00C73AC3">
            <w:pPr>
              <w:numPr>
                <w:ilvl w:val="0"/>
                <w:numId w:val="17"/>
              </w:numPr>
              <w:tabs>
                <w:tab w:val="clear" w:pos="1080"/>
              </w:tabs>
              <w:overflowPunct w:val="0"/>
              <w:autoSpaceDE w:val="0"/>
              <w:autoSpaceDN w:val="0"/>
              <w:adjustRightInd w:val="0"/>
              <w:ind w:left="612"/>
              <w:textAlignment w:val="baseline"/>
              <w:rPr>
                <w:sz w:val="20"/>
              </w:rPr>
            </w:pPr>
            <w:proofErr w:type="spellStart"/>
            <w:r>
              <w:rPr>
                <w:sz w:val="20"/>
              </w:rPr>
              <w:t>Berkey</w:t>
            </w:r>
            <w:proofErr w:type="spellEnd"/>
            <w:r>
              <w:rPr>
                <w:sz w:val="20"/>
              </w:rPr>
              <w:t xml:space="preserve"> Photo v. Kodak (1979).</w:t>
            </w:r>
          </w:p>
          <w:p w:rsidR="00C73AC3" w:rsidRPr="00DC4955" w:rsidRDefault="00C73AC3" w:rsidP="00C73AC3">
            <w:pPr>
              <w:numPr>
                <w:ilvl w:val="0"/>
                <w:numId w:val="17"/>
              </w:numPr>
              <w:tabs>
                <w:tab w:val="clear" w:pos="1080"/>
              </w:tabs>
              <w:overflowPunct w:val="0"/>
              <w:autoSpaceDE w:val="0"/>
              <w:autoSpaceDN w:val="0"/>
              <w:adjustRightInd w:val="0"/>
              <w:ind w:left="612"/>
              <w:textAlignment w:val="baseline"/>
              <w:rPr>
                <w:sz w:val="20"/>
              </w:rPr>
            </w:pPr>
            <w:r w:rsidRPr="00C73AC3">
              <w:rPr>
                <w:sz w:val="20"/>
              </w:rPr>
              <w:t>MCI v</w:t>
            </w:r>
            <w:r w:rsidR="002B6DE3">
              <w:rPr>
                <w:sz w:val="20"/>
              </w:rPr>
              <w:t>.</w:t>
            </w:r>
            <w:r w:rsidRPr="00C73AC3">
              <w:rPr>
                <w:sz w:val="20"/>
              </w:rPr>
              <w:t xml:space="preserve"> AT&amp;T (1982)</w:t>
            </w:r>
            <w:r>
              <w:rPr>
                <w:sz w:val="20"/>
              </w:rPr>
              <w:t>.</w:t>
            </w:r>
          </w:p>
        </w:tc>
      </w:tr>
    </w:tbl>
    <w:p w:rsidR="00C73AC3" w:rsidRDefault="00C73AC3" w:rsidP="00C73AC3">
      <w:pPr>
        <w:rPr>
          <w:sz w:val="20"/>
          <w:szCs w:val="20"/>
        </w:rPr>
      </w:pPr>
    </w:p>
    <w:p w:rsidR="00C73AC3" w:rsidRPr="001B01C6" w:rsidRDefault="002B6DE3" w:rsidP="00C73AC3">
      <w:pPr>
        <w:rPr>
          <w:sz w:val="20"/>
          <w:szCs w:val="20"/>
        </w:rPr>
      </w:pPr>
      <w:r>
        <w:rPr>
          <w:sz w:val="20"/>
          <w:szCs w:val="20"/>
        </w:rPr>
        <w:t>Complete each sentence below with the appropriate case from this list</w:t>
      </w:r>
      <w:r w:rsidR="00C73AC3">
        <w:rPr>
          <w:sz w:val="20"/>
          <w:szCs w:val="20"/>
        </w:rPr>
        <w:t>.</w:t>
      </w:r>
    </w:p>
    <w:tbl>
      <w:tblPr>
        <w:tblW w:w="0" w:type="auto"/>
        <w:jc w:val="right"/>
        <w:tblLayout w:type="fixed"/>
        <w:tblLook w:val="0000"/>
      </w:tblPr>
      <w:tblGrid>
        <w:gridCol w:w="5040"/>
        <w:gridCol w:w="4320"/>
      </w:tblGrid>
      <w:tr w:rsidR="007461E9" w:rsidRPr="008C26B7" w:rsidTr="004B444C">
        <w:trPr>
          <w:jc w:val="right"/>
        </w:trPr>
        <w:tc>
          <w:tcPr>
            <w:tcW w:w="5040" w:type="dxa"/>
          </w:tcPr>
          <w:p w:rsidR="007461E9" w:rsidRDefault="007461E9" w:rsidP="00F77C11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 xml:space="preserve">a.  The Supreme Court often makes the mistake of “protecting competitors instead of protecting competition,” according to Justice Potter Stewart's dissenting view in the case of 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1E9" w:rsidRPr="008C65A5" w:rsidRDefault="007461E9" w:rsidP="004B444C">
            <w:pPr>
              <w:rPr>
                <w:sz w:val="28"/>
                <w:szCs w:val="28"/>
              </w:rPr>
            </w:pPr>
          </w:p>
        </w:tc>
      </w:tr>
      <w:tr w:rsidR="007461E9" w:rsidRPr="008C26B7" w:rsidTr="004B444C">
        <w:trPr>
          <w:jc w:val="right"/>
        </w:trPr>
        <w:tc>
          <w:tcPr>
            <w:tcW w:w="5040" w:type="dxa"/>
          </w:tcPr>
          <w:p w:rsidR="007461E9" w:rsidRDefault="007461E9" w:rsidP="00F77C11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 xml:space="preserve">b.  A Circuit Court decision admitted the right of a dominant firm to “compete aggressively” in the case of 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1E9" w:rsidRPr="008C65A5" w:rsidRDefault="007461E9" w:rsidP="004B444C">
            <w:pPr>
              <w:rPr>
                <w:sz w:val="28"/>
                <w:szCs w:val="28"/>
              </w:rPr>
            </w:pPr>
          </w:p>
        </w:tc>
      </w:tr>
      <w:tr w:rsidR="001740C1" w:rsidRPr="008C26B7" w:rsidTr="004B444C">
        <w:trPr>
          <w:jc w:val="right"/>
        </w:trPr>
        <w:tc>
          <w:tcPr>
            <w:tcW w:w="5040" w:type="dxa"/>
          </w:tcPr>
          <w:p w:rsidR="001740C1" w:rsidRDefault="007461E9" w:rsidP="007461E9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c</w:t>
            </w:r>
            <w:r w:rsidR="001740C1">
              <w:rPr>
                <w:sz w:val="20"/>
              </w:rPr>
              <w:t>.  One remedy for monopolization is to break up the firm, as was done in the case of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0C1" w:rsidRPr="008C65A5" w:rsidRDefault="001740C1" w:rsidP="004B444C">
            <w:pPr>
              <w:rPr>
                <w:sz w:val="28"/>
                <w:szCs w:val="28"/>
              </w:rPr>
            </w:pPr>
          </w:p>
        </w:tc>
      </w:tr>
      <w:tr w:rsidR="001740C1" w:rsidRPr="008C26B7" w:rsidTr="004B444C">
        <w:trPr>
          <w:jc w:val="right"/>
        </w:trPr>
        <w:tc>
          <w:tcPr>
            <w:tcW w:w="5040" w:type="dxa"/>
          </w:tcPr>
          <w:p w:rsidR="001740C1" w:rsidRDefault="007461E9" w:rsidP="007461E9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d</w:t>
            </w:r>
            <w:r w:rsidR="001740C1">
              <w:rPr>
                <w:sz w:val="20"/>
              </w:rPr>
              <w:t>.  The Supreme Court stated that "the law does not make mere size an offense" in the case of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0C1" w:rsidRPr="008C65A5" w:rsidRDefault="001740C1" w:rsidP="004B444C">
            <w:pPr>
              <w:rPr>
                <w:sz w:val="28"/>
                <w:szCs w:val="28"/>
              </w:rPr>
            </w:pPr>
          </w:p>
        </w:tc>
      </w:tr>
      <w:tr w:rsidR="00C73AC3" w:rsidRPr="008C26B7" w:rsidTr="004B444C">
        <w:trPr>
          <w:jc w:val="right"/>
        </w:trPr>
        <w:tc>
          <w:tcPr>
            <w:tcW w:w="5040" w:type="dxa"/>
          </w:tcPr>
          <w:p w:rsidR="00C73AC3" w:rsidRDefault="007461E9" w:rsidP="007461E9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e</w:t>
            </w:r>
            <w:r w:rsidR="00C73AC3">
              <w:rPr>
                <w:sz w:val="20"/>
              </w:rPr>
              <w:t>.  The Seventh Circuit Court articulated the "essential facilities" doctrine in the case of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AC3" w:rsidRPr="008C65A5" w:rsidRDefault="00C73AC3" w:rsidP="004B444C">
            <w:pPr>
              <w:rPr>
                <w:sz w:val="28"/>
                <w:szCs w:val="28"/>
              </w:rPr>
            </w:pPr>
          </w:p>
        </w:tc>
      </w:tr>
    </w:tbl>
    <w:p w:rsidR="00C73AC3" w:rsidRDefault="00C73AC3" w:rsidP="00C73AC3">
      <w:pPr>
        <w:rPr>
          <w:sz w:val="20"/>
          <w:szCs w:val="20"/>
        </w:rPr>
      </w:pPr>
    </w:p>
    <w:p w:rsidR="00DC76AA" w:rsidRDefault="00DC76AA" w:rsidP="00593025">
      <w:pPr>
        <w:rPr>
          <w:sz w:val="20"/>
          <w:szCs w:val="20"/>
        </w:rPr>
      </w:pPr>
    </w:p>
    <w:p w:rsidR="001740C1" w:rsidRDefault="001740C1" w:rsidP="003C2FB9">
      <w:pPr>
        <w:rPr>
          <w:sz w:val="20"/>
        </w:rPr>
      </w:pPr>
    </w:p>
    <w:p w:rsidR="001740C1" w:rsidRDefault="001740C1" w:rsidP="003C2FB9">
      <w:pPr>
        <w:rPr>
          <w:sz w:val="20"/>
        </w:rPr>
      </w:pPr>
    </w:p>
    <w:p w:rsidR="003E0598" w:rsidRDefault="003C2FB9" w:rsidP="003C2FB9">
      <w:pPr>
        <w:rPr>
          <w:sz w:val="20"/>
        </w:rPr>
      </w:pPr>
      <w:r w:rsidRPr="003205FE">
        <w:rPr>
          <w:sz w:val="20"/>
        </w:rPr>
        <w:t>(</w:t>
      </w:r>
      <w:r w:rsidR="00D56FB7">
        <w:rPr>
          <w:sz w:val="20"/>
        </w:rPr>
        <w:t>2</w:t>
      </w:r>
      <w:r w:rsidRPr="003205FE">
        <w:rPr>
          <w:sz w:val="20"/>
        </w:rPr>
        <w:t>) [</w:t>
      </w:r>
      <w:r w:rsidR="00655AC2">
        <w:rPr>
          <w:sz w:val="20"/>
        </w:rPr>
        <w:t>Market-segmenting</w:t>
      </w:r>
      <w:r w:rsidRPr="003205FE">
        <w:rPr>
          <w:sz w:val="20"/>
        </w:rPr>
        <w:t xml:space="preserve"> price discrimination: </w:t>
      </w:r>
      <w:r w:rsidR="0071623D">
        <w:rPr>
          <w:sz w:val="20"/>
        </w:rPr>
        <w:t>6</w:t>
      </w:r>
      <w:r w:rsidRPr="003205FE">
        <w:rPr>
          <w:sz w:val="20"/>
        </w:rPr>
        <w:t xml:space="preserve"> pts</w:t>
      </w:r>
      <w:proofErr w:type="gramStart"/>
      <w:r w:rsidRPr="003205FE">
        <w:rPr>
          <w:sz w:val="20"/>
        </w:rPr>
        <w:t xml:space="preserve">]  </w:t>
      </w:r>
      <w:r w:rsidR="00DC513A">
        <w:rPr>
          <w:sz w:val="20"/>
        </w:rPr>
        <w:t>Suppose</w:t>
      </w:r>
      <w:proofErr w:type="gramEnd"/>
      <w:r w:rsidR="00DC513A">
        <w:rPr>
          <w:sz w:val="20"/>
        </w:rPr>
        <w:t xml:space="preserve"> </w:t>
      </w:r>
      <w:r w:rsidR="007621C5">
        <w:rPr>
          <w:sz w:val="20"/>
        </w:rPr>
        <w:t>an airline enjoys monopoly power on a particular route.  Marginal cost per passenger is $</w:t>
      </w:r>
      <w:r w:rsidR="007461E9">
        <w:rPr>
          <w:sz w:val="20"/>
        </w:rPr>
        <w:t>6</w:t>
      </w:r>
      <w:r w:rsidR="007621C5">
        <w:rPr>
          <w:sz w:val="20"/>
        </w:rPr>
        <w:t>0.  The elasticity of demand by business travelers is -</w:t>
      </w:r>
      <w:r w:rsidR="007461E9">
        <w:rPr>
          <w:sz w:val="20"/>
        </w:rPr>
        <w:t>4</w:t>
      </w:r>
      <w:r w:rsidR="007621C5">
        <w:rPr>
          <w:sz w:val="20"/>
        </w:rPr>
        <w:t>.  The elasticity of demand by tourists is -</w:t>
      </w:r>
      <w:r w:rsidR="007461E9">
        <w:rPr>
          <w:sz w:val="20"/>
        </w:rPr>
        <w:t>11</w:t>
      </w:r>
      <w:r w:rsidR="007621C5">
        <w:rPr>
          <w:sz w:val="20"/>
        </w:rPr>
        <w:t>.</w:t>
      </w:r>
    </w:p>
    <w:tbl>
      <w:tblPr>
        <w:tblW w:w="0" w:type="auto"/>
        <w:jc w:val="right"/>
        <w:tblLayout w:type="fixed"/>
        <w:tblLook w:val="0000"/>
      </w:tblPr>
      <w:tblGrid>
        <w:gridCol w:w="6480"/>
        <w:gridCol w:w="2880"/>
      </w:tblGrid>
      <w:tr w:rsidR="003C2FB9" w:rsidRPr="003205FE">
        <w:trPr>
          <w:jc w:val="right"/>
        </w:trPr>
        <w:tc>
          <w:tcPr>
            <w:tcW w:w="6480" w:type="dxa"/>
          </w:tcPr>
          <w:p w:rsidR="003C2FB9" w:rsidRDefault="003C2FB9" w:rsidP="0022135B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a</w:t>
            </w:r>
            <w:r w:rsidRPr="003205FE">
              <w:rPr>
                <w:sz w:val="20"/>
              </w:rPr>
              <w:t xml:space="preserve">. Compute the profit-maximizing price for </w:t>
            </w:r>
            <w:r>
              <w:rPr>
                <w:sz w:val="20"/>
              </w:rPr>
              <w:t xml:space="preserve">tickets sold to </w:t>
            </w:r>
            <w:r w:rsidR="007621C5">
              <w:rPr>
                <w:sz w:val="20"/>
              </w:rPr>
              <w:t>business travelers</w:t>
            </w:r>
            <w:r w:rsidRPr="003205FE">
              <w:rPr>
                <w:sz w:val="20"/>
              </w:rPr>
              <w:t>.</w:t>
            </w:r>
          </w:p>
          <w:p w:rsidR="003C2FB9" w:rsidRPr="003205FE" w:rsidRDefault="003C2FB9" w:rsidP="0022135B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FB9" w:rsidRPr="003205FE" w:rsidRDefault="003C2FB9" w:rsidP="0022135B">
            <w:pPr>
              <w:rPr>
                <w:sz w:val="28"/>
              </w:rPr>
            </w:pPr>
            <w:r w:rsidRPr="003205FE">
              <w:rPr>
                <w:sz w:val="28"/>
              </w:rPr>
              <w:t>$</w:t>
            </w:r>
          </w:p>
        </w:tc>
      </w:tr>
      <w:tr w:rsidR="003C2FB9" w:rsidRPr="003205FE">
        <w:trPr>
          <w:jc w:val="right"/>
        </w:trPr>
        <w:tc>
          <w:tcPr>
            <w:tcW w:w="6480" w:type="dxa"/>
          </w:tcPr>
          <w:p w:rsidR="003C2FB9" w:rsidRDefault="003C2FB9" w:rsidP="0022135B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b</w:t>
            </w:r>
            <w:r w:rsidRPr="003205FE">
              <w:rPr>
                <w:sz w:val="20"/>
              </w:rPr>
              <w:t xml:space="preserve">. Compute the profit-maximizing price for </w:t>
            </w:r>
            <w:r>
              <w:rPr>
                <w:sz w:val="20"/>
              </w:rPr>
              <w:t xml:space="preserve">tickets sold to </w:t>
            </w:r>
            <w:r w:rsidR="007621C5">
              <w:rPr>
                <w:sz w:val="20"/>
              </w:rPr>
              <w:t>tourists</w:t>
            </w:r>
            <w:r w:rsidRPr="003205FE">
              <w:rPr>
                <w:sz w:val="20"/>
              </w:rPr>
              <w:t>.</w:t>
            </w:r>
          </w:p>
          <w:p w:rsidR="003C2FB9" w:rsidRPr="003205FE" w:rsidRDefault="003C2FB9" w:rsidP="0022135B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FB9" w:rsidRPr="003205FE" w:rsidRDefault="003C2FB9" w:rsidP="0022135B">
            <w:pPr>
              <w:rPr>
                <w:sz w:val="28"/>
              </w:rPr>
            </w:pPr>
            <w:r w:rsidRPr="003205FE">
              <w:rPr>
                <w:sz w:val="28"/>
              </w:rPr>
              <w:t>$</w:t>
            </w:r>
          </w:p>
        </w:tc>
      </w:tr>
    </w:tbl>
    <w:p w:rsidR="003C2FB9" w:rsidRPr="003205FE" w:rsidRDefault="003C2FB9" w:rsidP="003C2FB9">
      <w:pPr>
        <w:rPr>
          <w:sz w:val="20"/>
        </w:rPr>
      </w:pPr>
    </w:p>
    <w:p w:rsidR="00F7749D" w:rsidRDefault="003C2FB9" w:rsidP="009E7D3C">
      <w:pPr>
        <w:rPr>
          <w:sz w:val="20"/>
        </w:rPr>
      </w:pPr>
      <w:r>
        <w:rPr>
          <w:sz w:val="20"/>
        </w:rPr>
        <w:br w:type="page"/>
      </w:r>
      <w:r w:rsidR="00F7749D">
        <w:rPr>
          <w:sz w:val="20"/>
        </w:rPr>
        <w:lastRenderedPageBreak/>
        <w:t>(</w:t>
      </w:r>
      <w:r w:rsidR="00BF6707">
        <w:rPr>
          <w:sz w:val="20"/>
        </w:rPr>
        <w:t>3</w:t>
      </w:r>
      <w:r w:rsidR="00F7749D">
        <w:rPr>
          <w:sz w:val="20"/>
        </w:rPr>
        <w:t xml:space="preserve">) [Predatory pricing: </w:t>
      </w:r>
      <w:r w:rsidR="0071623D">
        <w:rPr>
          <w:sz w:val="20"/>
        </w:rPr>
        <w:t>33</w:t>
      </w:r>
      <w:r w:rsidR="00F7749D">
        <w:rPr>
          <w:sz w:val="20"/>
        </w:rPr>
        <w:t xml:space="preserve"> pts</w:t>
      </w:r>
      <w:proofErr w:type="gramStart"/>
      <w:r w:rsidR="00F7749D">
        <w:rPr>
          <w:sz w:val="20"/>
        </w:rPr>
        <w:t xml:space="preserve">]  </w:t>
      </w:r>
      <w:r w:rsidR="007621C5">
        <w:rPr>
          <w:sz w:val="20"/>
        </w:rPr>
        <w:t>Red</w:t>
      </w:r>
      <w:proofErr w:type="gramEnd"/>
      <w:r w:rsidR="007621C5">
        <w:rPr>
          <w:sz w:val="20"/>
        </w:rPr>
        <w:t xml:space="preserve"> Company</w:t>
      </w:r>
      <w:r w:rsidR="00F7749D">
        <w:rPr>
          <w:sz w:val="20"/>
        </w:rPr>
        <w:t xml:space="preserve"> and </w:t>
      </w:r>
      <w:r w:rsidR="00983B11">
        <w:rPr>
          <w:sz w:val="20"/>
        </w:rPr>
        <w:t>Green</w:t>
      </w:r>
      <w:r w:rsidR="007621C5">
        <w:rPr>
          <w:sz w:val="20"/>
        </w:rPr>
        <w:t xml:space="preserve"> Company</w:t>
      </w:r>
      <w:r w:rsidR="00F7749D">
        <w:rPr>
          <w:sz w:val="20"/>
        </w:rPr>
        <w:t xml:space="preserve"> are both present in Market A.  In addition, </w:t>
      </w:r>
      <w:r w:rsidR="007621C5">
        <w:rPr>
          <w:sz w:val="20"/>
        </w:rPr>
        <w:t>Red Company</w:t>
      </w:r>
      <w:r w:rsidR="00F7749D">
        <w:rPr>
          <w:sz w:val="20"/>
        </w:rPr>
        <w:t xml:space="preserve"> is already present in Market B.  </w:t>
      </w:r>
      <w:r w:rsidR="00983B11">
        <w:rPr>
          <w:sz w:val="20"/>
        </w:rPr>
        <w:t>Green</w:t>
      </w:r>
      <w:r w:rsidR="007621C5">
        <w:rPr>
          <w:sz w:val="20"/>
        </w:rPr>
        <w:t xml:space="preserve"> Company</w:t>
      </w:r>
      <w:r w:rsidR="00F7749D">
        <w:rPr>
          <w:sz w:val="20"/>
        </w:rPr>
        <w:t xml:space="preserve"> may decide to enter Market B, but entry will cost </w:t>
      </w:r>
      <w:r w:rsidR="00983B11">
        <w:rPr>
          <w:sz w:val="20"/>
        </w:rPr>
        <w:t>Green</w:t>
      </w:r>
      <w:r w:rsidR="007621C5">
        <w:rPr>
          <w:sz w:val="20"/>
        </w:rPr>
        <w:t xml:space="preserve"> Company</w:t>
      </w:r>
      <w:r w:rsidR="00F7749D">
        <w:rPr>
          <w:sz w:val="20"/>
        </w:rPr>
        <w:t xml:space="preserve"> </w:t>
      </w:r>
      <w:r w:rsidR="00AC465E">
        <w:rPr>
          <w:sz w:val="20"/>
        </w:rPr>
        <w:t xml:space="preserve">some </w:t>
      </w:r>
      <w:r w:rsidR="00F7749D">
        <w:rPr>
          <w:sz w:val="20"/>
        </w:rPr>
        <w:t>start-up costs (for advertising, etc.</w:t>
      </w:r>
      <w:r w:rsidR="0019514C">
        <w:rPr>
          <w:sz w:val="20"/>
        </w:rPr>
        <w:t>).</w:t>
      </w:r>
      <w:r w:rsidR="00EE72A3">
        <w:rPr>
          <w:sz w:val="20"/>
        </w:rPr>
        <w:t xml:space="preserve">  The time line for the</w:t>
      </w:r>
      <w:r w:rsidR="004A0160">
        <w:rPr>
          <w:sz w:val="20"/>
        </w:rPr>
        <w:t xml:space="preserve"> firms'</w:t>
      </w:r>
      <w:r w:rsidR="00EE72A3">
        <w:rPr>
          <w:sz w:val="20"/>
        </w:rPr>
        <w:t xml:space="preserve"> interaction is as follows</w:t>
      </w:r>
      <w:r w:rsidR="004A0160">
        <w:rPr>
          <w:sz w:val="20"/>
        </w:rPr>
        <w:t>.</w:t>
      </w:r>
    </w:p>
    <w:p w:rsidR="00EE72A3" w:rsidRDefault="004122E6" w:rsidP="009E7D3C">
      <w:pPr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0" editas="canvas" style="width:468pt;height:99pt;mso-position-horizontal-relative:char;mso-position-vertical-relative:line" coordorigin="1470,3291" coordsize="9360,19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9" type="#_x0000_t75" style="position:absolute;left:1470;top:3291;width:9360;height:1980" o:preferrelative="f">
              <v:fill o:detectmouseclick="t"/>
              <v:path o:extrusionok="t" o:connecttype="none"/>
              <o:lock v:ext="edit" text="t"/>
            </v:shape>
            <v:line id="_x0000_s1086" style="position:absolute;flip:y" from="2010,4903" to="10830,4911" strokeweight="3pt">
              <v:stroke endarrow="block" endarrowwidth="wide"/>
              <v:shadow color="#777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9" type="#_x0000_t202" style="position:absolute;left:2025;top:3471;width:2490;height:720" filled="f" fillcolor="#fffff7" strokeweight="1pt">
              <v:fill color2="#ffffd9"/>
              <v:shadow color="#777"/>
              <v:textbox style="mso-next-textbox:#_x0000_s1089" inset="1.80339mm,.90169mm,1.80339mm,.90169mm">
                <w:txbxContent>
                  <w:p w:rsidR="00D365F4" w:rsidRPr="00EE72A3" w:rsidRDefault="00D365F4" w:rsidP="00EE72A3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Both companies</w:t>
                    </w:r>
                    <w:r w:rsidRPr="00EE72A3">
                      <w:rPr>
                        <w:color w:val="000000"/>
                      </w:rPr>
                      <w:t xml:space="preserve"> set quantities in </w:t>
                    </w:r>
                    <w:r>
                      <w:rPr>
                        <w:color w:val="000000"/>
                      </w:rPr>
                      <w:t>M</w:t>
                    </w:r>
                    <w:r w:rsidRPr="00EE72A3">
                      <w:rPr>
                        <w:color w:val="000000"/>
                      </w:rPr>
                      <w:t>arket A</w:t>
                    </w:r>
                    <w:r>
                      <w:rPr>
                        <w:color w:val="000000"/>
                      </w:rPr>
                      <w:t>.</w:t>
                    </w:r>
                  </w:p>
                </w:txbxContent>
              </v:textbox>
            </v:shape>
            <v:shape id="_x0000_s1091" type="#_x0000_t202" style="position:absolute;left:7920;top:3471;width:2580;height:720" filled="f" fillcolor="#fffff7" strokeweight="1pt">
              <v:fill color2="#ffffd9"/>
              <v:shadow color="#777"/>
              <v:textbox style="mso-next-textbox:#_x0000_s1091" inset="1.80339mm,.90169mm,1.80339mm,.90169mm">
                <w:txbxContent>
                  <w:p w:rsidR="00D365F4" w:rsidRPr="00EE72A3" w:rsidRDefault="00D365F4" w:rsidP="00EE72A3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Company</w:t>
                    </w:r>
                    <w:r w:rsidRPr="00EE72A3">
                      <w:rPr>
                        <w:color w:val="000000"/>
                      </w:rPr>
                      <w:t xml:space="preserve">(s) set quantities in </w:t>
                    </w:r>
                    <w:r>
                      <w:rPr>
                        <w:color w:val="000000"/>
                      </w:rPr>
                      <w:t>M</w:t>
                    </w:r>
                    <w:r w:rsidRPr="00EE72A3">
                      <w:rPr>
                        <w:color w:val="000000"/>
                      </w:rPr>
                      <w:t>arket B</w:t>
                    </w:r>
                    <w:r>
                      <w:rPr>
                        <w:color w:val="000000"/>
                      </w:rPr>
                      <w:t>.</w:t>
                    </w:r>
                  </w:p>
                </w:txbxContent>
              </v:textbox>
            </v:shape>
            <v:oval id="_x0000_s1096" style="position:absolute;left:3090;top:4731;width:341;height:341;v-text-anchor:middle" fillcolor="black" strokeweight="1pt">
              <v:fill color2="#ffffd9"/>
              <v:shadow color="#777"/>
            </v:oval>
            <v:oval id="_x0000_s1097" style="position:absolute;left:6150;top:4731;width:340;height:341;v-text-anchor:middle" fillcolor="black" strokeweight="1pt">
              <v:fill color2="#ffffd9"/>
              <v:shadow color="#777"/>
            </v:oval>
            <v:oval id="_x0000_s1098" style="position:absolute;left:9030;top:4731;width:340;height:341;v-text-anchor:middle" fillcolor="black" strokeweight="1pt">
              <v:fill color2="#ffffd9"/>
              <v:shadow color="#777"/>
            </v:oval>
            <v:shape id="_x0000_s1090" type="#_x0000_t202" style="position:absolute;left:5310;top:3471;width:2010;height:900" filled="f" fillcolor="#fffff7" strokeweight="1pt">
              <v:fill color2="#ffffd9"/>
              <v:shadow color="#777"/>
              <v:textbox style="mso-next-textbox:#_x0000_s1090" inset="1.80339mm,.90169mm,1.80339mm,.90169mm">
                <w:txbxContent>
                  <w:p w:rsidR="00D365F4" w:rsidRPr="00EE72A3" w:rsidRDefault="00D365F4" w:rsidP="00EE72A3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Green Company </w:t>
                    </w:r>
                    <w:r w:rsidRPr="00EE72A3">
                      <w:rPr>
                        <w:color w:val="000000"/>
                      </w:rPr>
                      <w:t>decides whether to enter</w:t>
                    </w:r>
                    <w:r>
                      <w:rPr>
                        <w:color w:val="000000"/>
                      </w:rPr>
                      <w:t xml:space="preserve"> M</w:t>
                    </w:r>
                    <w:r w:rsidRPr="00EE72A3">
                      <w:rPr>
                        <w:color w:val="000000"/>
                      </w:rPr>
                      <w:t>arket B</w:t>
                    </w:r>
                    <w:r>
                      <w:rPr>
                        <w:color w:val="000000"/>
                      </w:rPr>
                      <w:t>.</w:t>
                    </w:r>
                  </w:p>
                </w:txbxContent>
              </v:textbox>
            </v:shape>
            <v:line id="_x0000_s1107" style="position:absolute" from="3270,4191" to="3271,4731">
              <v:stroke endarrow="block"/>
            </v:line>
            <v:line id="_x0000_s1108" style="position:absolute" from="6330,4371" to="6331,4731">
              <v:stroke endarrow="block"/>
            </v:line>
            <v:line id="_x0000_s1109" style="position:absolute" from="9210,4191" to="9211,4731">
              <v:stroke endarrow="block"/>
            </v:line>
            <w10:wrap type="none"/>
            <w10:anchorlock/>
          </v:group>
        </w:pict>
      </w:r>
    </w:p>
    <w:p w:rsidR="00F7749D" w:rsidRDefault="00F7749D" w:rsidP="009E7D3C">
      <w:pPr>
        <w:rPr>
          <w:sz w:val="20"/>
        </w:rPr>
      </w:pPr>
      <w:r>
        <w:rPr>
          <w:sz w:val="20"/>
        </w:rPr>
        <w:t xml:space="preserve">The demand curve for </w:t>
      </w:r>
      <w:r w:rsidR="0019514C">
        <w:rPr>
          <w:sz w:val="20"/>
        </w:rPr>
        <w:t>each</w:t>
      </w:r>
      <w:r>
        <w:rPr>
          <w:sz w:val="20"/>
        </w:rPr>
        <w:t xml:space="preserve"> market </w:t>
      </w:r>
      <w:proofErr w:type="gramStart"/>
      <w:r>
        <w:rPr>
          <w:sz w:val="20"/>
        </w:rPr>
        <w:t xml:space="preserve">is  </w:t>
      </w:r>
      <w:r w:rsidRPr="0019514C">
        <w:rPr>
          <w:b/>
          <w:sz w:val="20"/>
        </w:rPr>
        <w:t>P</w:t>
      </w:r>
      <w:proofErr w:type="gramEnd"/>
      <w:r w:rsidRPr="0019514C">
        <w:rPr>
          <w:b/>
          <w:sz w:val="20"/>
        </w:rPr>
        <w:t xml:space="preserve"> = </w:t>
      </w:r>
      <w:r w:rsidR="007461E9">
        <w:rPr>
          <w:b/>
          <w:sz w:val="20"/>
        </w:rPr>
        <w:t>1</w:t>
      </w:r>
      <w:r w:rsidR="00983B11">
        <w:rPr>
          <w:b/>
          <w:sz w:val="20"/>
        </w:rPr>
        <w:t>0</w:t>
      </w:r>
      <w:r w:rsidRPr="0019514C">
        <w:rPr>
          <w:b/>
          <w:sz w:val="20"/>
        </w:rPr>
        <w:t xml:space="preserve"> – (Q/</w:t>
      </w:r>
      <w:r w:rsidR="007461E9">
        <w:rPr>
          <w:b/>
          <w:sz w:val="20"/>
        </w:rPr>
        <w:t>10</w:t>
      </w:r>
      <w:r w:rsidRPr="0019514C">
        <w:rPr>
          <w:b/>
          <w:sz w:val="20"/>
        </w:rPr>
        <w:t>).</w:t>
      </w:r>
      <w:r>
        <w:rPr>
          <w:sz w:val="20"/>
        </w:rPr>
        <w:t xml:space="preserve">  </w:t>
      </w:r>
      <w:r w:rsidR="00753B11">
        <w:rPr>
          <w:sz w:val="20"/>
        </w:rPr>
        <w:t xml:space="preserve">For both companies, marginal cost is constant and equal to average cost.  </w:t>
      </w:r>
      <w:r>
        <w:rPr>
          <w:sz w:val="20"/>
        </w:rPr>
        <w:t xml:space="preserve">For </w:t>
      </w:r>
      <w:r w:rsidR="00983B11">
        <w:rPr>
          <w:sz w:val="20"/>
        </w:rPr>
        <w:t>Green</w:t>
      </w:r>
      <w:r w:rsidR="007621C5">
        <w:rPr>
          <w:sz w:val="20"/>
        </w:rPr>
        <w:t xml:space="preserve"> Company</w:t>
      </w:r>
      <w:r>
        <w:rPr>
          <w:sz w:val="20"/>
        </w:rPr>
        <w:t xml:space="preserve">, marginal </w:t>
      </w:r>
      <w:r w:rsidR="00753B11">
        <w:rPr>
          <w:sz w:val="20"/>
        </w:rPr>
        <w:t>cost is</w:t>
      </w:r>
      <w:r>
        <w:rPr>
          <w:sz w:val="20"/>
        </w:rPr>
        <w:t xml:space="preserve"> </w:t>
      </w:r>
      <w:r w:rsidRPr="00F91AC3">
        <w:rPr>
          <w:b/>
          <w:sz w:val="20"/>
        </w:rPr>
        <w:t>$</w:t>
      </w:r>
      <w:r w:rsidR="00F91AC3">
        <w:rPr>
          <w:b/>
          <w:sz w:val="20"/>
        </w:rPr>
        <w:t xml:space="preserve"> 1</w:t>
      </w:r>
      <w:r>
        <w:rPr>
          <w:sz w:val="20"/>
        </w:rPr>
        <w:t xml:space="preserve">.  However, </w:t>
      </w:r>
      <w:r w:rsidR="00983B11">
        <w:rPr>
          <w:sz w:val="20"/>
        </w:rPr>
        <w:t>Green</w:t>
      </w:r>
      <w:r w:rsidR="007621C5">
        <w:rPr>
          <w:sz w:val="20"/>
        </w:rPr>
        <w:t xml:space="preserve"> Company</w:t>
      </w:r>
      <w:r>
        <w:rPr>
          <w:sz w:val="20"/>
        </w:rPr>
        <w:t xml:space="preserve"> is un</w:t>
      </w:r>
      <w:r w:rsidR="00753B11">
        <w:rPr>
          <w:sz w:val="20"/>
        </w:rPr>
        <w:t>certain</w:t>
      </w:r>
      <w:r>
        <w:rPr>
          <w:sz w:val="20"/>
        </w:rPr>
        <w:t xml:space="preserve"> whether </w:t>
      </w:r>
      <w:r w:rsidR="007621C5">
        <w:rPr>
          <w:sz w:val="20"/>
        </w:rPr>
        <w:t>Red Company</w:t>
      </w:r>
      <w:r>
        <w:rPr>
          <w:sz w:val="20"/>
        </w:rPr>
        <w:t xml:space="preserve">’s marginal cost </w:t>
      </w:r>
      <w:proofErr w:type="gramStart"/>
      <w:r>
        <w:rPr>
          <w:sz w:val="20"/>
        </w:rPr>
        <w:t>is</w:t>
      </w:r>
      <w:r w:rsidR="00C75103">
        <w:rPr>
          <w:sz w:val="20"/>
        </w:rPr>
        <w:t xml:space="preserve"> </w:t>
      </w:r>
      <w:r>
        <w:rPr>
          <w:sz w:val="20"/>
        </w:rPr>
        <w:t xml:space="preserve"> </w:t>
      </w:r>
      <w:r w:rsidRPr="00C75103">
        <w:rPr>
          <w:b/>
          <w:sz w:val="20"/>
        </w:rPr>
        <w:t>$</w:t>
      </w:r>
      <w:proofErr w:type="gramEnd"/>
      <w:r w:rsidR="00C75103">
        <w:rPr>
          <w:b/>
          <w:sz w:val="20"/>
        </w:rPr>
        <w:t xml:space="preserve"> </w:t>
      </w:r>
      <w:r w:rsidR="007461E9">
        <w:rPr>
          <w:b/>
          <w:sz w:val="20"/>
        </w:rPr>
        <w:t>1</w:t>
      </w:r>
      <w:r>
        <w:rPr>
          <w:sz w:val="20"/>
        </w:rPr>
        <w:t xml:space="preserve"> or</w:t>
      </w:r>
      <w:r w:rsidR="00C75103">
        <w:rPr>
          <w:sz w:val="20"/>
        </w:rPr>
        <w:t xml:space="preserve"> </w:t>
      </w:r>
      <w:r>
        <w:rPr>
          <w:sz w:val="20"/>
        </w:rPr>
        <w:t xml:space="preserve"> </w:t>
      </w:r>
      <w:r w:rsidRPr="00C75103">
        <w:rPr>
          <w:b/>
          <w:sz w:val="20"/>
        </w:rPr>
        <w:t>$</w:t>
      </w:r>
      <w:r w:rsidR="00C75103">
        <w:rPr>
          <w:b/>
          <w:sz w:val="20"/>
        </w:rPr>
        <w:t xml:space="preserve"> </w:t>
      </w:r>
      <w:r w:rsidR="007461E9">
        <w:rPr>
          <w:b/>
          <w:sz w:val="20"/>
        </w:rPr>
        <w:t>4</w:t>
      </w:r>
      <w:r>
        <w:rPr>
          <w:sz w:val="20"/>
        </w:rPr>
        <w:t>.</w:t>
      </w:r>
    </w:p>
    <w:p w:rsidR="00F7749D" w:rsidRDefault="00F7749D" w:rsidP="009E7D3C">
      <w:pPr>
        <w:rPr>
          <w:sz w:val="20"/>
        </w:rPr>
      </w:pPr>
    </w:p>
    <w:p w:rsidR="00F7749D" w:rsidRPr="00AC465E" w:rsidRDefault="00AC465E" w:rsidP="009E7D3C">
      <w:pPr>
        <w:rPr>
          <w:sz w:val="20"/>
        </w:rPr>
      </w:pPr>
      <w:r>
        <w:rPr>
          <w:sz w:val="20"/>
        </w:rPr>
        <w:t>If both firms’ marginal costs are $</w:t>
      </w:r>
      <w:r w:rsidR="007461E9">
        <w:rPr>
          <w:sz w:val="20"/>
        </w:rPr>
        <w:t>1</w:t>
      </w:r>
      <w:r>
        <w:rPr>
          <w:sz w:val="20"/>
        </w:rPr>
        <w:t xml:space="preserve">, then the </w:t>
      </w:r>
      <w:r w:rsidR="007B07E7">
        <w:rPr>
          <w:sz w:val="20"/>
        </w:rPr>
        <w:t xml:space="preserve">symmetric </w:t>
      </w:r>
      <w:proofErr w:type="spellStart"/>
      <w:r>
        <w:rPr>
          <w:sz w:val="20"/>
        </w:rPr>
        <w:t>Cournot</w:t>
      </w:r>
      <w:proofErr w:type="spellEnd"/>
      <w:r>
        <w:rPr>
          <w:sz w:val="20"/>
        </w:rPr>
        <w:t xml:space="preserve"> duopoly equilibrium </w:t>
      </w:r>
      <w:proofErr w:type="gramStart"/>
      <w:r>
        <w:rPr>
          <w:sz w:val="20"/>
        </w:rPr>
        <w:t xml:space="preserve">is  </w:t>
      </w:r>
      <w:proofErr w:type="spellStart"/>
      <w:r>
        <w:rPr>
          <w:sz w:val="20"/>
        </w:rPr>
        <w:t>q</w:t>
      </w:r>
      <w:r w:rsidR="00983B11" w:rsidRPr="00983B11">
        <w:rPr>
          <w:sz w:val="20"/>
          <w:vertAlign w:val="subscript"/>
        </w:rPr>
        <w:t>Red</w:t>
      </w:r>
      <w:proofErr w:type="spellEnd"/>
      <w:proofErr w:type="gramEnd"/>
      <w:r>
        <w:rPr>
          <w:sz w:val="20"/>
        </w:rPr>
        <w:t xml:space="preserve"> = </w:t>
      </w:r>
      <w:proofErr w:type="spellStart"/>
      <w:r>
        <w:rPr>
          <w:sz w:val="20"/>
        </w:rPr>
        <w:t>q</w:t>
      </w:r>
      <w:r w:rsidR="00983B11">
        <w:rPr>
          <w:sz w:val="20"/>
          <w:vertAlign w:val="subscript"/>
        </w:rPr>
        <w:t>Green</w:t>
      </w:r>
      <w:proofErr w:type="spellEnd"/>
      <w:r>
        <w:rPr>
          <w:sz w:val="20"/>
        </w:rPr>
        <w:t xml:space="preserve"> = </w:t>
      </w:r>
      <w:r w:rsidR="007461E9">
        <w:rPr>
          <w:sz w:val="20"/>
        </w:rPr>
        <w:t>30</w:t>
      </w:r>
      <w:r>
        <w:rPr>
          <w:sz w:val="20"/>
        </w:rPr>
        <w:t>.</w:t>
      </w:r>
    </w:p>
    <w:tbl>
      <w:tblPr>
        <w:tblW w:w="0" w:type="auto"/>
        <w:jc w:val="right"/>
        <w:tblLayout w:type="fixed"/>
        <w:tblLook w:val="0000"/>
      </w:tblPr>
      <w:tblGrid>
        <w:gridCol w:w="6480"/>
        <w:gridCol w:w="2880"/>
      </w:tblGrid>
      <w:tr w:rsidR="00AC465E" w:rsidRPr="003205FE">
        <w:trPr>
          <w:jc w:val="right"/>
        </w:trPr>
        <w:tc>
          <w:tcPr>
            <w:tcW w:w="6480" w:type="dxa"/>
          </w:tcPr>
          <w:p w:rsidR="00AC465E" w:rsidRDefault="00AC465E" w:rsidP="0022135B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a</w:t>
            </w:r>
            <w:r w:rsidRPr="003205FE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Compute the </w:t>
            </w:r>
            <w:proofErr w:type="spellStart"/>
            <w:r>
              <w:rPr>
                <w:sz w:val="20"/>
              </w:rPr>
              <w:t>Cournot</w:t>
            </w:r>
            <w:proofErr w:type="spellEnd"/>
            <w:r>
              <w:rPr>
                <w:sz w:val="20"/>
              </w:rPr>
              <w:t xml:space="preserve"> duopoly price in this case.</w:t>
            </w:r>
          </w:p>
          <w:p w:rsidR="009A1A3E" w:rsidRPr="003205FE" w:rsidRDefault="009A1A3E" w:rsidP="0022135B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65E" w:rsidRPr="003205FE" w:rsidRDefault="00AC465E" w:rsidP="0022135B">
            <w:pPr>
              <w:rPr>
                <w:sz w:val="28"/>
              </w:rPr>
            </w:pPr>
            <w:r w:rsidRPr="003205FE">
              <w:rPr>
                <w:sz w:val="28"/>
              </w:rPr>
              <w:t>$</w:t>
            </w:r>
          </w:p>
        </w:tc>
      </w:tr>
      <w:tr w:rsidR="00F7749D" w:rsidRPr="003205FE">
        <w:trPr>
          <w:jc w:val="right"/>
        </w:trPr>
        <w:tc>
          <w:tcPr>
            <w:tcW w:w="6480" w:type="dxa"/>
          </w:tcPr>
          <w:p w:rsidR="009A1A3E" w:rsidRPr="003205FE" w:rsidRDefault="00AC465E" w:rsidP="0022135B">
            <w:pPr>
              <w:ind w:left="144" w:hanging="144"/>
              <w:rPr>
                <w:sz w:val="20"/>
              </w:rPr>
            </w:pPr>
            <w:proofErr w:type="gramStart"/>
            <w:r>
              <w:rPr>
                <w:sz w:val="20"/>
              </w:rPr>
              <w:t>b</w:t>
            </w:r>
            <w:r w:rsidR="00F7749D" w:rsidRPr="003205FE">
              <w:rPr>
                <w:sz w:val="20"/>
              </w:rPr>
              <w:t xml:space="preserve">. </w:t>
            </w:r>
            <w:r>
              <w:rPr>
                <w:sz w:val="20"/>
              </w:rPr>
              <w:t>Compute</w:t>
            </w:r>
            <w:proofErr w:type="gramEnd"/>
            <w:r>
              <w:rPr>
                <w:sz w:val="20"/>
              </w:rPr>
              <w:t xml:space="preserve"> </w:t>
            </w:r>
            <w:r w:rsidR="00983B11">
              <w:rPr>
                <w:sz w:val="20"/>
              </w:rPr>
              <w:t>Green</w:t>
            </w:r>
            <w:r w:rsidR="007621C5">
              <w:rPr>
                <w:sz w:val="20"/>
              </w:rPr>
              <w:t xml:space="preserve"> Company</w:t>
            </w:r>
            <w:r>
              <w:rPr>
                <w:sz w:val="20"/>
              </w:rPr>
              <w:t>’s profit</w:t>
            </w:r>
            <w:r w:rsidR="0019514C">
              <w:rPr>
                <w:sz w:val="20"/>
              </w:rPr>
              <w:t xml:space="preserve"> in Market B</w:t>
            </w:r>
            <w:r>
              <w:rPr>
                <w:sz w:val="20"/>
              </w:rPr>
              <w:t xml:space="preserve"> in this case</w:t>
            </w:r>
            <w:r w:rsidR="0019514C">
              <w:rPr>
                <w:sz w:val="20"/>
              </w:rPr>
              <w:t>, ignoring start-up cost</w:t>
            </w:r>
            <w:r w:rsidR="00F7749D">
              <w:rPr>
                <w:sz w:val="20"/>
              </w:rPr>
              <w:t>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749D" w:rsidRPr="003205FE" w:rsidRDefault="00F7749D" w:rsidP="0022135B">
            <w:pPr>
              <w:rPr>
                <w:sz w:val="28"/>
              </w:rPr>
            </w:pPr>
            <w:r w:rsidRPr="003205FE">
              <w:rPr>
                <w:sz w:val="28"/>
              </w:rPr>
              <w:t>$</w:t>
            </w:r>
          </w:p>
        </w:tc>
      </w:tr>
    </w:tbl>
    <w:p w:rsidR="00F7749D" w:rsidRDefault="00F7749D" w:rsidP="009E7D3C">
      <w:pPr>
        <w:rPr>
          <w:sz w:val="20"/>
        </w:rPr>
      </w:pPr>
    </w:p>
    <w:p w:rsidR="00AC465E" w:rsidRPr="00AC465E" w:rsidRDefault="00AC465E" w:rsidP="00AC465E">
      <w:pPr>
        <w:rPr>
          <w:sz w:val="20"/>
        </w:rPr>
      </w:pPr>
      <w:r>
        <w:rPr>
          <w:sz w:val="20"/>
        </w:rPr>
        <w:t xml:space="preserve">If instead </w:t>
      </w:r>
      <w:r w:rsidR="007621C5">
        <w:rPr>
          <w:sz w:val="20"/>
        </w:rPr>
        <w:t>Red Company</w:t>
      </w:r>
      <w:r>
        <w:rPr>
          <w:sz w:val="20"/>
        </w:rPr>
        <w:t xml:space="preserve">’s marginal cost is </w:t>
      </w:r>
      <w:r w:rsidR="00655AC2">
        <w:rPr>
          <w:sz w:val="20"/>
        </w:rPr>
        <w:t>$</w:t>
      </w:r>
      <w:r w:rsidR="007461E9">
        <w:rPr>
          <w:sz w:val="20"/>
        </w:rPr>
        <w:t>4</w:t>
      </w:r>
      <w:r>
        <w:rPr>
          <w:sz w:val="20"/>
        </w:rPr>
        <w:t xml:space="preserve">, then the </w:t>
      </w:r>
      <w:r w:rsidR="007B07E7">
        <w:rPr>
          <w:sz w:val="20"/>
        </w:rPr>
        <w:t xml:space="preserve">asymmetric </w:t>
      </w:r>
      <w:proofErr w:type="spellStart"/>
      <w:r>
        <w:rPr>
          <w:sz w:val="20"/>
        </w:rPr>
        <w:t>Cournot</w:t>
      </w:r>
      <w:proofErr w:type="spellEnd"/>
      <w:r>
        <w:rPr>
          <w:sz w:val="20"/>
        </w:rPr>
        <w:t xml:space="preserve"> duopoly equilibrium </w:t>
      </w:r>
      <w:proofErr w:type="gramStart"/>
      <w:r>
        <w:rPr>
          <w:sz w:val="20"/>
        </w:rPr>
        <w:t xml:space="preserve">is  </w:t>
      </w:r>
      <w:proofErr w:type="spellStart"/>
      <w:r>
        <w:rPr>
          <w:sz w:val="20"/>
        </w:rPr>
        <w:t>q</w:t>
      </w:r>
      <w:r w:rsidR="00983B11">
        <w:rPr>
          <w:sz w:val="20"/>
          <w:vertAlign w:val="subscript"/>
        </w:rPr>
        <w:t>Red</w:t>
      </w:r>
      <w:proofErr w:type="spellEnd"/>
      <w:proofErr w:type="gramEnd"/>
      <w:r>
        <w:rPr>
          <w:sz w:val="20"/>
        </w:rPr>
        <w:t xml:space="preserve"> = </w:t>
      </w:r>
      <w:r w:rsidR="007461E9">
        <w:rPr>
          <w:sz w:val="20"/>
        </w:rPr>
        <w:t>10</w:t>
      </w:r>
      <w:r>
        <w:rPr>
          <w:sz w:val="20"/>
        </w:rPr>
        <w:t xml:space="preserve">  and  </w:t>
      </w:r>
      <w:proofErr w:type="spellStart"/>
      <w:r>
        <w:rPr>
          <w:sz w:val="20"/>
        </w:rPr>
        <w:t>q</w:t>
      </w:r>
      <w:r w:rsidR="00983B11">
        <w:rPr>
          <w:sz w:val="20"/>
          <w:vertAlign w:val="subscript"/>
        </w:rPr>
        <w:t>Green</w:t>
      </w:r>
      <w:proofErr w:type="spellEnd"/>
      <w:r>
        <w:rPr>
          <w:sz w:val="20"/>
        </w:rPr>
        <w:t xml:space="preserve"> = </w:t>
      </w:r>
      <w:r w:rsidR="007461E9">
        <w:rPr>
          <w:sz w:val="20"/>
        </w:rPr>
        <w:t>4</w:t>
      </w:r>
      <w:r w:rsidR="00983B11">
        <w:rPr>
          <w:sz w:val="20"/>
        </w:rPr>
        <w:t>0</w:t>
      </w:r>
      <w:r>
        <w:rPr>
          <w:sz w:val="20"/>
        </w:rPr>
        <w:t>.</w:t>
      </w:r>
    </w:p>
    <w:tbl>
      <w:tblPr>
        <w:tblW w:w="0" w:type="auto"/>
        <w:jc w:val="right"/>
        <w:tblLayout w:type="fixed"/>
        <w:tblLook w:val="0000"/>
      </w:tblPr>
      <w:tblGrid>
        <w:gridCol w:w="6480"/>
        <w:gridCol w:w="2880"/>
      </w:tblGrid>
      <w:tr w:rsidR="00AC465E" w:rsidRPr="003205FE">
        <w:trPr>
          <w:jc w:val="right"/>
        </w:trPr>
        <w:tc>
          <w:tcPr>
            <w:tcW w:w="6480" w:type="dxa"/>
          </w:tcPr>
          <w:p w:rsidR="00AC465E" w:rsidRDefault="00AC465E" w:rsidP="0022135B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c</w:t>
            </w:r>
            <w:r w:rsidRPr="003205FE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Compute the </w:t>
            </w:r>
            <w:proofErr w:type="spellStart"/>
            <w:r>
              <w:rPr>
                <w:sz w:val="20"/>
              </w:rPr>
              <w:t>Cournot</w:t>
            </w:r>
            <w:proofErr w:type="spellEnd"/>
            <w:r>
              <w:rPr>
                <w:sz w:val="20"/>
              </w:rPr>
              <w:t xml:space="preserve"> duopoly price in this case.</w:t>
            </w:r>
          </w:p>
          <w:p w:rsidR="009A1A3E" w:rsidRPr="003205FE" w:rsidRDefault="009A1A3E" w:rsidP="0022135B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65E" w:rsidRPr="003205FE" w:rsidRDefault="00AC465E" w:rsidP="0022135B">
            <w:pPr>
              <w:rPr>
                <w:sz w:val="28"/>
              </w:rPr>
            </w:pPr>
            <w:r w:rsidRPr="003205FE">
              <w:rPr>
                <w:sz w:val="28"/>
              </w:rPr>
              <w:t>$</w:t>
            </w:r>
          </w:p>
        </w:tc>
      </w:tr>
      <w:tr w:rsidR="00AC465E" w:rsidRPr="003205FE">
        <w:trPr>
          <w:jc w:val="right"/>
        </w:trPr>
        <w:tc>
          <w:tcPr>
            <w:tcW w:w="6480" w:type="dxa"/>
          </w:tcPr>
          <w:p w:rsidR="009A1A3E" w:rsidRPr="003205FE" w:rsidRDefault="00AC465E" w:rsidP="0022135B">
            <w:pPr>
              <w:ind w:left="144" w:hanging="144"/>
              <w:rPr>
                <w:sz w:val="20"/>
              </w:rPr>
            </w:pPr>
            <w:proofErr w:type="gramStart"/>
            <w:r>
              <w:rPr>
                <w:sz w:val="20"/>
              </w:rPr>
              <w:t>d</w:t>
            </w:r>
            <w:r w:rsidRPr="003205FE">
              <w:rPr>
                <w:sz w:val="20"/>
              </w:rPr>
              <w:t xml:space="preserve">. </w:t>
            </w:r>
            <w:r w:rsidR="0019514C">
              <w:rPr>
                <w:sz w:val="20"/>
              </w:rPr>
              <w:t>Compute</w:t>
            </w:r>
            <w:proofErr w:type="gramEnd"/>
            <w:r w:rsidR="0019514C">
              <w:rPr>
                <w:sz w:val="20"/>
              </w:rPr>
              <w:t xml:space="preserve"> </w:t>
            </w:r>
            <w:r w:rsidR="00983B11">
              <w:rPr>
                <w:sz w:val="20"/>
              </w:rPr>
              <w:t>Green</w:t>
            </w:r>
            <w:r w:rsidR="007621C5">
              <w:rPr>
                <w:sz w:val="20"/>
              </w:rPr>
              <w:t xml:space="preserve"> Company</w:t>
            </w:r>
            <w:r w:rsidR="0019514C">
              <w:rPr>
                <w:sz w:val="20"/>
              </w:rPr>
              <w:t>’s profit in Market B in this case, ignoring start-up cost.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65E" w:rsidRPr="003205FE" w:rsidRDefault="00AC465E" w:rsidP="0022135B">
            <w:pPr>
              <w:rPr>
                <w:sz w:val="28"/>
              </w:rPr>
            </w:pPr>
            <w:r w:rsidRPr="003205FE">
              <w:rPr>
                <w:sz w:val="28"/>
              </w:rPr>
              <w:t>$</w:t>
            </w:r>
          </w:p>
        </w:tc>
      </w:tr>
    </w:tbl>
    <w:p w:rsidR="00AC465E" w:rsidRDefault="00AC465E" w:rsidP="00AC465E">
      <w:pPr>
        <w:rPr>
          <w:sz w:val="20"/>
        </w:rPr>
      </w:pPr>
    </w:p>
    <w:p w:rsidR="00AC465E" w:rsidRPr="00AC465E" w:rsidRDefault="009A1A3E" w:rsidP="00AC465E">
      <w:pPr>
        <w:rPr>
          <w:sz w:val="20"/>
        </w:rPr>
      </w:pPr>
      <w:r>
        <w:rPr>
          <w:sz w:val="20"/>
        </w:rPr>
        <w:t>S</w:t>
      </w:r>
      <w:r w:rsidR="00AC465E">
        <w:rPr>
          <w:sz w:val="20"/>
        </w:rPr>
        <w:t xml:space="preserve">uppose </w:t>
      </w:r>
      <w:r w:rsidR="00983B11">
        <w:rPr>
          <w:sz w:val="20"/>
        </w:rPr>
        <w:t>Green</w:t>
      </w:r>
      <w:r w:rsidR="007621C5">
        <w:rPr>
          <w:sz w:val="20"/>
        </w:rPr>
        <w:t xml:space="preserve"> Company</w:t>
      </w:r>
      <w:r w:rsidR="00AC465E">
        <w:rPr>
          <w:sz w:val="20"/>
        </w:rPr>
        <w:t xml:space="preserve"> believes there </w:t>
      </w:r>
      <w:proofErr w:type="gramStart"/>
      <w:r w:rsidR="00AC465E">
        <w:rPr>
          <w:sz w:val="20"/>
        </w:rPr>
        <w:t>is</w:t>
      </w:r>
      <w:proofErr w:type="gramEnd"/>
      <w:r w:rsidR="00AC465E">
        <w:rPr>
          <w:sz w:val="20"/>
        </w:rPr>
        <w:t xml:space="preserve"> a 50% chance that </w:t>
      </w:r>
      <w:r w:rsidR="007621C5">
        <w:rPr>
          <w:sz w:val="20"/>
        </w:rPr>
        <w:t>Red Company</w:t>
      </w:r>
      <w:r w:rsidR="00AC465E">
        <w:rPr>
          <w:sz w:val="20"/>
        </w:rPr>
        <w:t>’s marginal cost is $</w:t>
      </w:r>
      <w:r w:rsidR="007461E9">
        <w:rPr>
          <w:sz w:val="20"/>
        </w:rPr>
        <w:t>1</w:t>
      </w:r>
      <w:r w:rsidR="00AC465E">
        <w:rPr>
          <w:sz w:val="20"/>
        </w:rPr>
        <w:t xml:space="preserve">, and a 50% chance that </w:t>
      </w:r>
      <w:r w:rsidR="007621C5">
        <w:rPr>
          <w:sz w:val="20"/>
        </w:rPr>
        <w:t>Red Company</w:t>
      </w:r>
      <w:r w:rsidR="00AC465E">
        <w:rPr>
          <w:sz w:val="20"/>
        </w:rPr>
        <w:t xml:space="preserve">’s marginal cost is </w:t>
      </w:r>
      <w:r w:rsidR="00655AC2">
        <w:rPr>
          <w:sz w:val="20"/>
        </w:rPr>
        <w:t>$</w:t>
      </w:r>
      <w:r w:rsidR="007461E9">
        <w:rPr>
          <w:sz w:val="20"/>
        </w:rPr>
        <w:t>4</w:t>
      </w:r>
      <w:r w:rsidR="00AC465E">
        <w:rPr>
          <w:sz w:val="20"/>
        </w:rPr>
        <w:t>.</w:t>
      </w:r>
    </w:p>
    <w:tbl>
      <w:tblPr>
        <w:tblW w:w="0" w:type="auto"/>
        <w:jc w:val="right"/>
        <w:tblLayout w:type="fixed"/>
        <w:tblLook w:val="0000"/>
      </w:tblPr>
      <w:tblGrid>
        <w:gridCol w:w="6480"/>
        <w:gridCol w:w="2880"/>
      </w:tblGrid>
      <w:tr w:rsidR="00AC465E" w:rsidRPr="003205FE">
        <w:trPr>
          <w:jc w:val="right"/>
        </w:trPr>
        <w:tc>
          <w:tcPr>
            <w:tcW w:w="6480" w:type="dxa"/>
          </w:tcPr>
          <w:p w:rsidR="009A1A3E" w:rsidRPr="003205FE" w:rsidRDefault="00AC465E" w:rsidP="0022135B">
            <w:pPr>
              <w:ind w:left="144" w:hanging="144"/>
              <w:rPr>
                <w:sz w:val="20"/>
              </w:rPr>
            </w:pPr>
            <w:proofErr w:type="gramStart"/>
            <w:r>
              <w:rPr>
                <w:sz w:val="20"/>
              </w:rPr>
              <w:t>e</w:t>
            </w:r>
            <w:r w:rsidRPr="003205FE">
              <w:rPr>
                <w:sz w:val="20"/>
              </w:rPr>
              <w:t xml:space="preserve">. </w:t>
            </w:r>
            <w:r w:rsidR="0019514C">
              <w:rPr>
                <w:sz w:val="20"/>
              </w:rPr>
              <w:t>Compute</w:t>
            </w:r>
            <w:proofErr w:type="gramEnd"/>
            <w:r w:rsidR="0019514C">
              <w:rPr>
                <w:sz w:val="20"/>
              </w:rPr>
              <w:t xml:space="preserve"> </w:t>
            </w:r>
            <w:r w:rsidR="00983B11">
              <w:rPr>
                <w:sz w:val="20"/>
              </w:rPr>
              <w:t>Green</w:t>
            </w:r>
            <w:r w:rsidR="007621C5">
              <w:rPr>
                <w:sz w:val="20"/>
              </w:rPr>
              <w:t xml:space="preserve"> Company</w:t>
            </w:r>
            <w:r w:rsidR="0019514C">
              <w:rPr>
                <w:sz w:val="20"/>
              </w:rPr>
              <w:t>’s expected profit in Market B, ignoring start-up cost.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65E" w:rsidRPr="003205FE" w:rsidRDefault="00AC465E" w:rsidP="0022135B">
            <w:pPr>
              <w:rPr>
                <w:sz w:val="28"/>
              </w:rPr>
            </w:pPr>
            <w:r w:rsidRPr="003205FE">
              <w:rPr>
                <w:sz w:val="28"/>
              </w:rPr>
              <w:t>$</w:t>
            </w:r>
          </w:p>
        </w:tc>
      </w:tr>
      <w:tr w:rsidR="00AC465E" w:rsidRPr="003205FE">
        <w:trPr>
          <w:jc w:val="right"/>
        </w:trPr>
        <w:tc>
          <w:tcPr>
            <w:tcW w:w="6480" w:type="dxa"/>
          </w:tcPr>
          <w:p w:rsidR="00AC465E" w:rsidRDefault="00AC465E" w:rsidP="007461E9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 xml:space="preserve">f. If the start-up costs of entering Market B </w:t>
            </w:r>
            <w:proofErr w:type="gramStart"/>
            <w:r>
              <w:rPr>
                <w:sz w:val="20"/>
              </w:rPr>
              <w:t>are</w:t>
            </w:r>
            <w:r w:rsidR="00BE482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BE4824">
              <w:rPr>
                <w:b/>
                <w:sz w:val="20"/>
              </w:rPr>
              <w:t>$</w:t>
            </w:r>
            <w:proofErr w:type="gramEnd"/>
            <w:r w:rsidR="00BE4824">
              <w:rPr>
                <w:b/>
                <w:sz w:val="20"/>
              </w:rPr>
              <w:t xml:space="preserve"> </w:t>
            </w:r>
            <w:r w:rsidR="007461E9">
              <w:rPr>
                <w:b/>
                <w:sz w:val="20"/>
              </w:rPr>
              <w:t>13</w:t>
            </w:r>
            <w:r w:rsidRPr="00BE4824">
              <w:rPr>
                <w:b/>
                <w:sz w:val="20"/>
              </w:rPr>
              <w:t>0</w:t>
            </w:r>
            <w:r w:rsidR="00BE4824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, should </w:t>
            </w:r>
            <w:r w:rsidR="00983B11">
              <w:rPr>
                <w:sz w:val="20"/>
              </w:rPr>
              <w:t>Green</w:t>
            </w:r>
            <w:r w:rsidR="007621C5">
              <w:rPr>
                <w:sz w:val="20"/>
              </w:rPr>
              <w:t xml:space="preserve"> Company</w:t>
            </w:r>
            <w:r>
              <w:rPr>
                <w:sz w:val="20"/>
              </w:rPr>
              <w:t xml:space="preserve"> enter Market B if it is uncertain of </w:t>
            </w:r>
            <w:r w:rsidR="007621C5">
              <w:rPr>
                <w:sz w:val="20"/>
              </w:rPr>
              <w:t>Red Company</w:t>
            </w:r>
            <w:r>
              <w:rPr>
                <w:sz w:val="20"/>
              </w:rPr>
              <w:t>’s marginal cost?</w:t>
            </w:r>
            <w:r w:rsidR="0019514C">
              <w:rPr>
                <w:sz w:val="20"/>
              </w:rPr>
              <w:t xml:space="preserve">  Answer “Yes” or “No.”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465E" w:rsidRPr="003205FE" w:rsidRDefault="00AC465E" w:rsidP="0022135B">
            <w:pPr>
              <w:rPr>
                <w:sz w:val="28"/>
              </w:rPr>
            </w:pPr>
          </w:p>
        </w:tc>
      </w:tr>
    </w:tbl>
    <w:p w:rsidR="00AC465E" w:rsidRDefault="00AC465E" w:rsidP="00AC465E">
      <w:pPr>
        <w:rPr>
          <w:sz w:val="20"/>
        </w:rPr>
      </w:pPr>
    </w:p>
    <w:p w:rsidR="009A1A3E" w:rsidRPr="00AC465E" w:rsidRDefault="00AC465E" w:rsidP="009A1A3E">
      <w:pPr>
        <w:rPr>
          <w:sz w:val="20"/>
        </w:rPr>
      </w:pPr>
      <w:r>
        <w:rPr>
          <w:sz w:val="20"/>
        </w:rPr>
        <w:t>Now in fact</w:t>
      </w:r>
      <w:r w:rsidR="00C82A56">
        <w:rPr>
          <w:sz w:val="20"/>
        </w:rPr>
        <w:t>,</w:t>
      </w:r>
      <w:r>
        <w:rPr>
          <w:sz w:val="20"/>
        </w:rPr>
        <w:t xml:space="preserve"> </w:t>
      </w:r>
      <w:r w:rsidR="007621C5">
        <w:rPr>
          <w:sz w:val="20"/>
        </w:rPr>
        <w:t>Red Company</w:t>
      </w:r>
      <w:r>
        <w:rPr>
          <w:sz w:val="20"/>
        </w:rPr>
        <w:t>’s marginal cost</w:t>
      </w:r>
      <w:r w:rsidR="009A1A3E">
        <w:rPr>
          <w:sz w:val="20"/>
        </w:rPr>
        <w:t xml:space="preserve"> and average cost are both </w:t>
      </w:r>
      <w:r w:rsidR="00655AC2">
        <w:rPr>
          <w:sz w:val="20"/>
        </w:rPr>
        <w:t>$</w:t>
      </w:r>
      <w:r w:rsidR="007461E9">
        <w:rPr>
          <w:sz w:val="20"/>
        </w:rPr>
        <w:t>4</w:t>
      </w:r>
      <w:r w:rsidR="00C82A56">
        <w:rPr>
          <w:sz w:val="20"/>
        </w:rPr>
        <w:t xml:space="preserve">, though </w:t>
      </w:r>
      <w:r w:rsidR="00983B11">
        <w:rPr>
          <w:sz w:val="20"/>
        </w:rPr>
        <w:t>Green</w:t>
      </w:r>
      <w:r w:rsidR="007621C5">
        <w:rPr>
          <w:sz w:val="20"/>
        </w:rPr>
        <w:t xml:space="preserve"> Company</w:t>
      </w:r>
      <w:r w:rsidR="00C82A56">
        <w:rPr>
          <w:sz w:val="20"/>
        </w:rPr>
        <w:t xml:space="preserve"> does not know this</w:t>
      </w:r>
      <w:r w:rsidR="009A1A3E">
        <w:rPr>
          <w:sz w:val="20"/>
        </w:rPr>
        <w:t>.</w:t>
      </w:r>
    </w:p>
    <w:tbl>
      <w:tblPr>
        <w:tblW w:w="0" w:type="auto"/>
        <w:jc w:val="right"/>
        <w:tblLayout w:type="fixed"/>
        <w:tblLook w:val="0000"/>
      </w:tblPr>
      <w:tblGrid>
        <w:gridCol w:w="6480"/>
        <w:gridCol w:w="2880"/>
      </w:tblGrid>
      <w:tr w:rsidR="009A1A3E" w:rsidRPr="003205FE">
        <w:trPr>
          <w:jc w:val="right"/>
        </w:trPr>
        <w:tc>
          <w:tcPr>
            <w:tcW w:w="6480" w:type="dxa"/>
          </w:tcPr>
          <w:p w:rsidR="009A1A3E" w:rsidRPr="003205FE" w:rsidRDefault="009A1A3E" w:rsidP="0022135B">
            <w:pPr>
              <w:ind w:left="144" w:hanging="144"/>
              <w:rPr>
                <w:sz w:val="20"/>
              </w:rPr>
            </w:pPr>
            <w:proofErr w:type="gramStart"/>
            <w:r>
              <w:rPr>
                <w:sz w:val="20"/>
              </w:rPr>
              <w:t>g</w:t>
            </w:r>
            <w:r w:rsidRPr="003205FE">
              <w:rPr>
                <w:sz w:val="20"/>
              </w:rPr>
              <w:t xml:space="preserve">. </w:t>
            </w:r>
            <w:r>
              <w:rPr>
                <w:sz w:val="20"/>
              </w:rPr>
              <w:t>Compute</w:t>
            </w:r>
            <w:proofErr w:type="gramEnd"/>
            <w:r>
              <w:rPr>
                <w:sz w:val="20"/>
              </w:rPr>
              <w:t xml:space="preserve"> </w:t>
            </w:r>
            <w:r w:rsidR="007621C5">
              <w:rPr>
                <w:sz w:val="20"/>
              </w:rPr>
              <w:t>Red Company</w:t>
            </w:r>
            <w:r>
              <w:rPr>
                <w:sz w:val="20"/>
              </w:rPr>
              <w:t xml:space="preserve">’s total </w:t>
            </w:r>
            <w:r w:rsidR="00BE4824">
              <w:rPr>
                <w:sz w:val="20"/>
              </w:rPr>
              <w:t xml:space="preserve">combined </w:t>
            </w:r>
            <w:r>
              <w:rPr>
                <w:sz w:val="20"/>
              </w:rPr>
              <w:t xml:space="preserve">profit in </w:t>
            </w:r>
            <w:r w:rsidR="00BE4824">
              <w:rPr>
                <w:sz w:val="20"/>
              </w:rPr>
              <w:t xml:space="preserve">both </w:t>
            </w:r>
            <w:r>
              <w:rPr>
                <w:sz w:val="20"/>
              </w:rPr>
              <w:t xml:space="preserve">Markets A and B from simply playing </w:t>
            </w:r>
            <w:r w:rsidR="0019514C">
              <w:rPr>
                <w:sz w:val="20"/>
              </w:rPr>
              <w:t xml:space="preserve">each market </w:t>
            </w:r>
            <w:r>
              <w:rPr>
                <w:sz w:val="20"/>
              </w:rPr>
              <w:t>as a</w:t>
            </w:r>
            <w:r w:rsidR="007B07E7">
              <w:rPr>
                <w:sz w:val="20"/>
              </w:rPr>
              <w:t>n asymmetric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Cournot</w:t>
            </w:r>
            <w:proofErr w:type="spellEnd"/>
            <w:r>
              <w:rPr>
                <w:sz w:val="20"/>
              </w:rPr>
              <w:t xml:space="preserve"> duopoly.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A3E" w:rsidRPr="003205FE" w:rsidRDefault="009A1A3E" w:rsidP="0022135B">
            <w:pPr>
              <w:rPr>
                <w:sz w:val="28"/>
              </w:rPr>
            </w:pPr>
            <w:r w:rsidRPr="003205FE">
              <w:rPr>
                <w:sz w:val="28"/>
              </w:rPr>
              <w:t>$</w:t>
            </w:r>
          </w:p>
        </w:tc>
      </w:tr>
    </w:tbl>
    <w:p w:rsidR="009A1A3E" w:rsidRDefault="009A1A3E" w:rsidP="009A1A3E">
      <w:pPr>
        <w:rPr>
          <w:sz w:val="20"/>
        </w:rPr>
      </w:pPr>
    </w:p>
    <w:p w:rsidR="009A1A3E" w:rsidRPr="00AC465E" w:rsidRDefault="009A1A3E" w:rsidP="009A1A3E">
      <w:pPr>
        <w:rPr>
          <w:sz w:val="20"/>
        </w:rPr>
      </w:pPr>
      <w:r>
        <w:rPr>
          <w:sz w:val="20"/>
        </w:rPr>
        <w:t xml:space="preserve">Suggest an alternative strategy for </w:t>
      </w:r>
      <w:r w:rsidR="007621C5">
        <w:rPr>
          <w:sz w:val="20"/>
        </w:rPr>
        <w:t>Red Company</w:t>
      </w:r>
      <w:r>
        <w:rPr>
          <w:sz w:val="20"/>
        </w:rPr>
        <w:t xml:space="preserve"> that will generate higher total profit.</w:t>
      </w:r>
    </w:p>
    <w:tbl>
      <w:tblPr>
        <w:tblW w:w="0" w:type="auto"/>
        <w:jc w:val="right"/>
        <w:tblLayout w:type="fixed"/>
        <w:tblLook w:val="0000"/>
      </w:tblPr>
      <w:tblGrid>
        <w:gridCol w:w="6480"/>
        <w:gridCol w:w="2880"/>
      </w:tblGrid>
      <w:tr w:rsidR="009A1A3E" w:rsidRPr="003205FE">
        <w:trPr>
          <w:jc w:val="right"/>
        </w:trPr>
        <w:tc>
          <w:tcPr>
            <w:tcW w:w="6480" w:type="dxa"/>
          </w:tcPr>
          <w:p w:rsidR="009A1A3E" w:rsidRDefault="009A1A3E" w:rsidP="0022135B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h</w:t>
            </w:r>
            <w:r w:rsidRPr="003205FE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What quantity should </w:t>
            </w:r>
            <w:r w:rsidR="007621C5">
              <w:rPr>
                <w:sz w:val="20"/>
              </w:rPr>
              <w:t>Red Company</w:t>
            </w:r>
            <w:r>
              <w:rPr>
                <w:sz w:val="20"/>
              </w:rPr>
              <w:t xml:space="preserve"> produce in Market A</w:t>
            </w:r>
            <w:r w:rsidR="00C82A56">
              <w:rPr>
                <w:sz w:val="20"/>
              </w:rPr>
              <w:t>—</w:t>
            </w:r>
            <w:r w:rsidR="00983B11">
              <w:rPr>
                <w:sz w:val="20"/>
              </w:rPr>
              <w:t>3</w:t>
            </w:r>
            <w:r w:rsidR="00C82A56">
              <w:rPr>
                <w:sz w:val="20"/>
              </w:rPr>
              <w:t xml:space="preserve">0 or </w:t>
            </w:r>
            <w:r w:rsidR="00983B11">
              <w:rPr>
                <w:sz w:val="20"/>
              </w:rPr>
              <w:t>1</w:t>
            </w:r>
            <w:r w:rsidR="00C82A56">
              <w:rPr>
                <w:sz w:val="20"/>
              </w:rPr>
              <w:t>0</w:t>
            </w:r>
            <w:r>
              <w:rPr>
                <w:sz w:val="20"/>
              </w:rPr>
              <w:t>?</w:t>
            </w:r>
          </w:p>
          <w:p w:rsidR="009A1A3E" w:rsidRPr="003205FE" w:rsidRDefault="009A1A3E" w:rsidP="0022135B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A3E" w:rsidRPr="003205FE" w:rsidRDefault="009A1A3E" w:rsidP="0022135B">
            <w:pPr>
              <w:rPr>
                <w:sz w:val="28"/>
              </w:rPr>
            </w:pPr>
          </w:p>
        </w:tc>
      </w:tr>
      <w:tr w:rsidR="009A1A3E" w:rsidRPr="003205FE">
        <w:trPr>
          <w:jc w:val="right"/>
        </w:trPr>
        <w:tc>
          <w:tcPr>
            <w:tcW w:w="6480" w:type="dxa"/>
          </w:tcPr>
          <w:p w:rsidR="009A1A3E" w:rsidRDefault="009A1A3E" w:rsidP="0022135B">
            <w:pPr>
              <w:ind w:left="144" w:hanging="144"/>
              <w:rPr>
                <w:sz w:val="20"/>
              </w:rPr>
            </w:pP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. What quantity should </w:t>
            </w:r>
            <w:r w:rsidR="007621C5">
              <w:rPr>
                <w:sz w:val="20"/>
              </w:rPr>
              <w:t>Red Company</w:t>
            </w:r>
            <w:r>
              <w:rPr>
                <w:sz w:val="20"/>
              </w:rPr>
              <w:t xml:space="preserve"> produce in Market B?</w:t>
            </w:r>
          </w:p>
          <w:p w:rsidR="009A1A3E" w:rsidRDefault="009A1A3E" w:rsidP="0022135B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A3E" w:rsidRPr="003205FE" w:rsidRDefault="009A1A3E" w:rsidP="0022135B">
            <w:pPr>
              <w:rPr>
                <w:sz w:val="28"/>
              </w:rPr>
            </w:pPr>
          </w:p>
        </w:tc>
      </w:tr>
      <w:tr w:rsidR="009A1A3E" w:rsidRPr="003205FE">
        <w:trPr>
          <w:jc w:val="right"/>
        </w:trPr>
        <w:tc>
          <w:tcPr>
            <w:tcW w:w="6480" w:type="dxa"/>
          </w:tcPr>
          <w:p w:rsidR="009A1A3E" w:rsidRDefault="009A1A3E" w:rsidP="0022135B">
            <w:pPr>
              <w:ind w:left="144" w:hanging="144"/>
              <w:rPr>
                <w:sz w:val="20"/>
              </w:rPr>
            </w:pPr>
            <w:proofErr w:type="gramStart"/>
            <w:r>
              <w:rPr>
                <w:sz w:val="20"/>
              </w:rPr>
              <w:t>j. Compute</w:t>
            </w:r>
            <w:proofErr w:type="gramEnd"/>
            <w:r>
              <w:rPr>
                <w:sz w:val="20"/>
              </w:rPr>
              <w:t xml:space="preserve"> </w:t>
            </w:r>
            <w:r w:rsidR="007621C5">
              <w:rPr>
                <w:sz w:val="20"/>
              </w:rPr>
              <w:t>Red Company</w:t>
            </w:r>
            <w:r>
              <w:rPr>
                <w:sz w:val="20"/>
              </w:rPr>
              <w:t xml:space="preserve">’s total </w:t>
            </w:r>
            <w:r w:rsidR="00BE4824">
              <w:rPr>
                <w:sz w:val="20"/>
              </w:rPr>
              <w:t xml:space="preserve">combined </w:t>
            </w:r>
            <w:r>
              <w:rPr>
                <w:sz w:val="20"/>
              </w:rPr>
              <w:t xml:space="preserve">profit in </w:t>
            </w:r>
            <w:r w:rsidR="00BE4824">
              <w:rPr>
                <w:sz w:val="20"/>
              </w:rPr>
              <w:t xml:space="preserve">both </w:t>
            </w:r>
            <w:r>
              <w:rPr>
                <w:sz w:val="20"/>
              </w:rPr>
              <w:t>Markets A and B.</w:t>
            </w:r>
          </w:p>
          <w:p w:rsidR="009A1A3E" w:rsidRDefault="009A1A3E" w:rsidP="0022135B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1A3E" w:rsidRPr="003205FE" w:rsidRDefault="009A1A3E" w:rsidP="0022135B">
            <w:pPr>
              <w:rPr>
                <w:sz w:val="28"/>
              </w:rPr>
            </w:pPr>
            <w:r w:rsidRPr="003205FE">
              <w:rPr>
                <w:sz w:val="28"/>
              </w:rPr>
              <w:t>$</w:t>
            </w:r>
          </w:p>
        </w:tc>
      </w:tr>
      <w:tr w:rsidR="009A1A3E" w:rsidRPr="003205FE">
        <w:trPr>
          <w:jc w:val="right"/>
        </w:trPr>
        <w:tc>
          <w:tcPr>
            <w:tcW w:w="6480" w:type="dxa"/>
            <w:tcBorders>
              <w:bottom w:val="single" w:sz="4" w:space="0" w:color="auto"/>
            </w:tcBorders>
          </w:tcPr>
          <w:p w:rsidR="009A1A3E" w:rsidRDefault="009A1A3E" w:rsidP="0022135B">
            <w:pPr>
              <w:ind w:left="144" w:hanging="144"/>
              <w:rPr>
                <w:sz w:val="20"/>
              </w:rPr>
            </w:pPr>
            <w:proofErr w:type="gramStart"/>
            <w:r>
              <w:rPr>
                <w:sz w:val="20"/>
              </w:rPr>
              <w:t>k</w:t>
            </w:r>
            <w:proofErr w:type="gramEnd"/>
            <w:r>
              <w:rPr>
                <w:sz w:val="20"/>
              </w:rPr>
              <w:t>. Explain why this strategy works.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A1A3E" w:rsidRPr="003205FE" w:rsidRDefault="009A1A3E" w:rsidP="0022135B">
            <w:pPr>
              <w:rPr>
                <w:sz w:val="28"/>
              </w:rPr>
            </w:pPr>
          </w:p>
        </w:tc>
      </w:tr>
      <w:tr w:rsidR="009A1A3E" w:rsidRPr="003205FE">
        <w:trPr>
          <w:jc w:val="right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A3E" w:rsidRDefault="009A1A3E" w:rsidP="0022135B">
            <w:pPr>
              <w:ind w:left="144" w:hanging="144"/>
              <w:rPr>
                <w:sz w:val="20"/>
              </w:rPr>
            </w:pPr>
          </w:p>
          <w:p w:rsidR="009A1A3E" w:rsidRDefault="009A1A3E" w:rsidP="0022135B">
            <w:pPr>
              <w:ind w:left="144" w:hanging="144"/>
              <w:rPr>
                <w:sz w:val="20"/>
              </w:rPr>
            </w:pPr>
          </w:p>
          <w:p w:rsidR="009A1A3E" w:rsidRDefault="009A1A3E" w:rsidP="0022135B">
            <w:pPr>
              <w:ind w:left="144" w:hanging="144"/>
              <w:rPr>
                <w:sz w:val="20"/>
              </w:rPr>
            </w:pPr>
          </w:p>
          <w:p w:rsidR="009A1A3E" w:rsidRDefault="009A1A3E" w:rsidP="0022135B">
            <w:pPr>
              <w:ind w:left="144" w:hanging="144"/>
              <w:rPr>
                <w:sz w:val="20"/>
              </w:rPr>
            </w:pPr>
          </w:p>
          <w:p w:rsidR="009A1A3E" w:rsidRDefault="009A1A3E" w:rsidP="0022135B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3E" w:rsidRPr="003205FE" w:rsidRDefault="009A1A3E" w:rsidP="0022135B">
            <w:pPr>
              <w:rPr>
                <w:sz w:val="28"/>
              </w:rPr>
            </w:pPr>
          </w:p>
        </w:tc>
      </w:tr>
    </w:tbl>
    <w:p w:rsidR="00C75103" w:rsidRDefault="00C75103" w:rsidP="009E7D3C">
      <w:pPr>
        <w:rPr>
          <w:sz w:val="20"/>
        </w:rPr>
      </w:pPr>
    </w:p>
    <w:p w:rsidR="002F4846" w:rsidRDefault="002F4846" w:rsidP="002F4846">
      <w:pPr>
        <w:rPr>
          <w:sz w:val="20"/>
        </w:rPr>
      </w:pPr>
      <w:r w:rsidRPr="003205FE">
        <w:rPr>
          <w:sz w:val="20"/>
        </w:rPr>
        <w:t>(</w:t>
      </w:r>
      <w:r w:rsidR="00655AC2">
        <w:rPr>
          <w:sz w:val="20"/>
        </w:rPr>
        <w:t>4</w:t>
      </w:r>
      <w:r w:rsidRPr="003205FE">
        <w:rPr>
          <w:sz w:val="20"/>
        </w:rPr>
        <w:t>) [</w:t>
      </w:r>
      <w:r w:rsidR="00655AC2">
        <w:rPr>
          <w:sz w:val="20"/>
        </w:rPr>
        <w:t>Perfect</w:t>
      </w:r>
      <w:r w:rsidRPr="003205FE">
        <w:rPr>
          <w:sz w:val="20"/>
        </w:rPr>
        <w:t xml:space="preserve"> price discrimination: </w:t>
      </w:r>
      <w:r w:rsidR="00B91FE7">
        <w:rPr>
          <w:sz w:val="20"/>
        </w:rPr>
        <w:t>26</w:t>
      </w:r>
      <w:r w:rsidRPr="003205FE">
        <w:rPr>
          <w:sz w:val="20"/>
        </w:rPr>
        <w:t xml:space="preserve"> pts</w:t>
      </w:r>
      <w:proofErr w:type="gramStart"/>
      <w:r w:rsidRPr="003205FE">
        <w:rPr>
          <w:sz w:val="20"/>
        </w:rPr>
        <w:t xml:space="preserve">]  </w:t>
      </w:r>
      <w:r>
        <w:rPr>
          <w:sz w:val="20"/>
        </w:rPr>
        <w:t>Suppose</w:t>
      </w:r>
      <w:proofErr w:type="gramEnd"/>
      <w:r>
        <w:rPr>
          <w:sz w:val="20"/>
        </w:rPr>
        <w:t xml:space="preserve"> Big Company is a monopoly and faces the demand, marginal cost, and average cost curves shown below.</w:t>
      </w:r>
    </w:p>
    <w:p w:rsidR="002F4846" w:rsidRDefault="00B91FE7" w:rsidP="00B91FE7">
      <w:pPr>
        <w:jc w:val="center"/>
        <w:rPr>
          <w:sz w:val="20"/>
        </w:rPr>
      </w:pPr>
      <w:r w:rsidRPr="00B91FE7">
        <w:rPr>
          <w:noProof/>
          <w:sz w:val="20"/>
        </w:rPr>
        <w:drawing>
          <wp:inline distT="0" distB="0" distL="0" distR="0">
            <wp:extent cx="5143501" cy="3409951"/>
            <wp:effectExtent l="19050" t="0" r="19049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91FE7" w:rsidRDefault="00B91FE7" w:rsidP="002F4846">
      <w:pPr>
        <w:rPr>
          <w:sz w:val="20"/>
        </w:rPr>
      </w:pPr>
    </w:p>
    <w:p w:rsidR="002F4846" w:rsidRDefault="002F4846" w:rsidP="002F4846">
      <w:pPr>
        <w:rPr>
          <w:sz w:val="20"/>
        </w:rPr>
      </w:pPr>
      <w:r>
        <w:rPr>
          <w:sz w:val="20"/>
        </w:rPr>
        <w:t xml:space="preserve">First, assume that Big Company must set a single price </w:t>
      </w:r>
      <w:r w:rsidR="00382D91">
        <w:rPr>
          <w:sz w:val="20"/>
        </w:rPr>
        <w:t>for</w:t>
      </w:r>
      <w:r>
        <w:rPr>
          <w:sz w:val="20"/>
        </w:rPr>
        <w:t xml:space="preserve"> all customers.</w:t>
      </w:r>
    </w:p>
    <w:p w:rsidR="002F4846" w:rsidRDefault="006852C8" w:rsidP="002F4846">
      <w:pPr>
        <w:rPr>
          <w:sz w:val="20"/>
        </w:rPr>
      </w:pPr>
      <w:r>
        <w:rPr>
          <w:sz w:val="20"/>
        </w:rPr>
        <w:t xml:space="preserve">    a. </w:t>
      </w:r>
      <w:r w:rsidR="002F4846">
        <w:rPr>
          <w:sz w:val="20"/>
        </w:rPr>
        <w:t xml:space="preserve">Using a straightedge, draw </w:t>
      </w:r>
      <w:r w:rsidR="00753B11">
        <w:rPr>
          <w:sz w:val="20"/>
        </w:rPr>
        <w:t xml:space="preserve">and label </w:t>
      </w:r>
      <w:r w:rsidR="002F4846">
        <w:rPr>
          <w:sz w:val="20"/>
        </w:rPr>
        <w:t>Big C</w:t>
      </w:r>
      <w:r>
        <w:rPr>
          <w:sz w:val="20"/>
        </w:rPr>
        <w:t>ompany's marginal revenue curve on the graph above.</w:t>
      </w:r>
    </w:p>
    <w:tbl>
      <w:tblPr>
        <w:tblW w:w="0" w:type="auto"/>
        <w:jc w:val="right"/>
        <w:tblLayout w:type="fixed"/>
        <w:tblLook w:val="0000"/>
      </w:tblPr>
      <w:tblGrid>
        <w:gridCol w:w="6480"/>
        <w:gridCol w:w="2880"/>
      </w:tblGrid>
      <w:tr w:rsidR="002F4846" w:rsidRPr="003205FE" w:rsidTr="004E14C6">
        <w:trPr>
          <w:jc w:val="right"/>
        </w:trPr>
        <w:tc>
          <w:tcPr>
            <w:tcW w:w="6480" w:type="dxa"/>
          </w:tcPr>
          <w:p w:rsidR="002F4846" w:rsidRPr="003205FE" w:rsidRDefault="006852C8" w:rsidP="00382D91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b</w:t>
            </w:r>
            <w:r w:rsidR="002F4846" w:rsidRPr="003205FE">
              <w:rPr>
                <w:sz w:val="20"/>
              </w:rPr>
              <w:t xml:space="preserve">. </w:t>
            </w:r>
            <w:r w:rsidR="002F4846">
              <w:rPr>
                <w:sz w:val="20"/>
              </w:rPr>
              <w:t>What price will Big Company set to maximize profit?</w:t>
            </w:r>
            <w:r w:rsidR="00382D91">
              <w:rPr>
                <w:sz w:val="20"/>
              </w:rPr>
              <w:t xml:space="preserve">  [Hint:  Sketch Big </w:t>
            </w:r>
            <w:proofErr w:type="spellStart"/>
            <w:r w:rsidR="00382D91">
              <w:rPr>
                <w:sz w:val="20"/>
              </w:rPr>
              <w:t>Comopany's</w:t>
            </w:r>
            <w:proofErr w:type="spellEnd"/>
            <w:r w:rsidR="00382D91">
              <w:rPr>
                <w:sz w:val="20"/>
              </w:rPr>
              <w:t xml:space="preserve"> MR curve.]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846" w:rsidRPr="003205FE" w:rsidRDefault="002F4846" w:rsidP="004E14C6">
            <w:pPr>
              <w:rPr>
                <w:sz w:val="28"/>
              </w:rPr>
            </w:pPr>
            <w:r w:rsidRPr="003205FE">
              <w:rPr>
                <w:sz w:val="28"/>
              </w:rPr>
              <w:t>$</w:t>
            </w:r>
          </w:p>
        </w:tc>
      </w:tr>
    </w:tbl>
    <w:p w:rsidR="002F4846" w:rsidRPr="003205FE" w:rsidRDefault="002F4846" w:rsidP="002F4846">
      <w:pPr>
        <w:rPr>
          <w:sz w:val="20"/>
        </w:rPr>
      </w:pPr>
    </w:p>
    <w:p w:rsidR="002F4846" w:rsidRDefault="002F4846" w:rsidP="002F4846">
      <w:pPr>
        <w:rPr>
          <w:sz w:val="20"/>
        </w:rPr>
      </w:pPr>
      <w:r>
        <w:rPr>
          <w:sz w:val="20"/>
        </w:rPr>
        <w:t xml:space="preserve">Alternatively, assume that Big Company can set a different price for each unit sold, according to buyers' willingness to pay.  That is, </w:t>
      </w:r>
      <w:r w:rsidR="006852C8">
        <w:rPr>
          <w:sz w:val="20"/>
        </w:rPr>
        <w:t xml:space="preserve">assume that </w:t>
      </w:r>
      <w:r>
        <w:rPr>
          <w:sz w:val="20"/>
        </w:rPr>
        <w:t>Big Company can engage in perfect ("first-degree") price discrimination.</w:t>
      </w:r>
    </w:p>
    <w:tbl>
      <w:tblPr>
        <w:tblW w:w="0" w:type="auto"/>
        <w:jc w:val="right"/>
        <w:tblLayout w:type="fixed"/>
        <w:tblLook w:val="0000"/>
      </w:tblPr>
      <w:tblGrid>
        <w:gridCol w:w="6480"/>
        <w:gridCol w:w="2880"/>
      </w:tblGrid>
      <w:tr w:rsidR="002F4846" w:rsidRPr="003205FE" w:rsidTr="004E14C6">
        <w:trPr>
          <w:jc w:val="right"/>
        </w:trPr>
        <w:tc>
          <w:tcPr>
            <w:tcW w:w="6480" w:type="dxa"/>
          </w:tcPr>
          <w:p w:rsidR="002F4846" w:rsidRPr="003205FE" w:rsidRDefault="002F4846" w:rsidP="00B91FE7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c</w:t>
            </w:r>
            <w:r w:rsidRPr="003205FE">
              <w:rPr>
                <w:sz w:val="20"/>
              </w:rPr>
              <w:t xml:space="preserve">. </w:t>
            </w:r>
            <w:r>
              <w:rPr>
                <w:sz w:val="20"/>
              </w:rPr>
              <w:t>What is the highest price Big Company will set?</w:t>
            </w:r>
            <w:r w:rsidR="00B91FE7">
              <w:rPr>
                <w:sz w:val="20"/>
              </w:rPr>
              <w:t xml:space="preserve">  Give an answer to the nearest whole dollar.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846" w:rsidRPr="003205FE" w:rsidRDefault="002F4846" w:rsidP="004E14C6">
            <w:pPr>
              <w:rPr>
                <w:sz w:val="28"/>
              </w:rPr>
            </w:pPr>
            <w:r w:rsidRPr="003205FE">
              <w:rPr>
                <w:sz w:val="28"/>
              </w:rPr>
              <w:t>$</w:t>
            </w:r>
          </w:p>
        </w:tc>
      </w:tr>
      <w:tr w:rsidR="002F4846" w:rsidRPr="003205FE" w:rsidTr="004E14C6">
        <w:trPr>
          <w:jc w:val="right"/>
        </w:trPr>
        <w:tc>
          <w:tcPr>
            <w:tcW w:w="6480" w:type="dxa"/>
          </w:tcPr>
          <w:p w:rsidR="002F4846" w:rsidRDefault="002F4846" w:rsidP="00B91FE7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d. What is the lowest price Big Company will set?</w:t>
            </w:r>
            <w:r w:rsidR="00B91FE7">
              <w:rPr>
                <w:sz w:val="20"/>
              </w:rPr>
              <w:t xml:space="preserve">  Give an answer to the nearest whole dollar.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846" w:rsidRPr="003205FE" w:rsidRDefault="002F4846" w:rsidP="004E14C6">
            <w:pPr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</w:tr>
    </w:tbl>
    <w:p w:rsidR="002F4846" w:rsidRDefault="002F4846" w:rsidP="002F4846">
      <w:pPr>
        <w:rPr>
          <w:sz w:val="20"/>
        </w:rPr>
      </w:pPr>
    </w:p>
    <w:p w:rsidR="002F4846" w:rsidRDefault="002F4846">
      <w:pPr>
        <w:rPr>
          <w:sz w:val="20"/>
        </w:rPr>
      </w:pPr>
      <w:r>
        <w:rPr>
          <w:sz w:val="20"/>
        </w:rPr>
        <w:t>Compare these two situations by computing the following.</w:t>
      </w:r>
    </w:p>
    <w:tbl>
      <w:tblPr>
        <w:tblW w:w="0" w:type="auto"/>
        <w:jc w:val="right"/>
        <w:tblLayout w:type="fixed"/>
        <w:tblLook w:val="0000"/>
      </w:tblPr>
      <w:tblGrid>
        <w:gridCol w:w="3600"/>
        <w:gridCol w:w="2880"/>
        <w:gridCol w:w="2880"/>
      </w:tblGrid>
      <w:tr w:rsidR="002F4846" w:rsidRPr="003205FE" w:rsidTr="00B91FE7">
        <w:trPr>
          <w:jc w:val="right"/>
        </w:trPr>
        <w:tc>
          <w:tcPr>
            <w:tcW w:w="3600" w:type="dxa"/>
          </w:tcPr>
          <w:p w:rsidR="002F4846" w:rsidRDefault="002F4846" w:rsidP="004E14C6">
            <w:pPr>
              <w:ind w:left="144" w:hanging="144"/>
              <w:rPr>
                <w:sz w:val="20"/>
              </w:rPr>
            </w:pPr>
          </w:p>
          <w:p w:rsidR="002F4846" w:rsidRPr="003205FE" w:rsidRDefault="002F4846" w:rsidP="004E14C6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52C8" w:rsidRDefault="006852C8" w:rsidP="00B91FE7">
            <w:pPr>
              <w:jc w:val="center"/>
              <w:rPr>
                <w:i/>
                <w:sz w:val="28"/>
                <w:szCs w:val="28"/>
              </w:rPr>
            </w:pPr>
          </w:p>
          <w:p w:rsidR="002F4846" w:rsidRPr="006852C8" w:rsidRDefault="00B91FE7" w:rsidP="00B91FE7">
            <w:pPr>
              <w:jc w:val="center"/>
              <w:rPr>
                <w:i/>
                <w:sz w:val="28"/>
                <w:szCs w:val="28"/>
              </w:rPr>
            </w:pPr>
            <w:r w:rsidRPr="006852C8">
              <w:rPr>
                <w:i/>
                <w:sz w:val="28"/>
                <w:szCs w:val="28"/>
              </w:rPr>
              <w:t>Single-price monopoly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846" w:rsidRPr="006852C8" w:rsidRDefault="00B91FE7" w:rsidP="00B91FE7">
            <w:pPr>
              <w:jc w:val="center"/>
              <w:rPr>
                <w:i/>
                <w:sz w:val="28"/>
                <w:szCs w:val="28"/>
              </w:rPr>
            </w:pPr>
            <w:r w:rsidRPr="006852C8">
              <w:rPr>
                <w:i/>
                <w:sz w:val="28"/>
                <w:szCs w:val="28"/>
              </w:rPr>
              <w:t>Perfect price discrimination</w:t>
            </w:r>
          </w:p>
        </w:tc>
      </w:tr>
      <w:tr w:rsidR="00B91FE7" w:rsidRPr="003205FE" w:rsidTr="00B91FE7">
        <w:trPr>
          <w:jc w:val="right"/>
        </w:trPr>
        <w:tc>
          <w:tcPr>
            <w:tcW w:w="3600" w:type="dxa"/>
          </w:tcPr>
          <w:p w:rsidR="00B91FE7" w:rsidRDefault="00B91FE7" w:rsidP="00B91FE7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e. Quantity produced.</w:t>
            </w:r>
          </w:p>
          <w:p w:rsidR="00B91FE7" w:rsidRDefault="00B91FE7" w:rsidP="00B91FE7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1FE7" w:rsidRPr="003205FE" w:rsidRDefault="00B91FE7" w:rsidP="004E14C6">
            <w:pPr>
              <w:jc w:val="right"/>
              <w:rPr>
                <w:sz w:val="28"/>
              </w:rPr>
            </w:pPr>
            <w:r>
              <w:rPr>
                <w:sz w:val="28"/>
              </w:rPr>
              <w:t>thousand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1FE7" w:rsidRPr="003205FE" w:rsidRDefault="00B91FE7" w:rsidP="004E14C6">
            <w:pPr>
              <w:jc w:val="right"/>
              <w:rPr>
                <w:sz w:val="28"/>
              </w:rPr>
            </w:pPr>
            <w:r>
              <w:rPr>
                <w:sz w:val="28"/>
              </w:rPr>
              <w:t>thousand</w:t>
            </w:r>
          </w:p>
        </w:tc>
      </w:tr>
      <w:tr w:rsidR="00B91FE7" w:rsidRPr="003205FE" w:rsidTr="00B91FE7">
        <w:trPr>
          <w:jc w:val="right"/>
        </w:trPr>
        <w:tc>
          <w:tcPr>
            <w:tcW w:w="3600" w:type="dxa"/>
          </w:tcPr>
          <w:p w:rsidR="00B91FE7" w:rsidRDefault="00B91FE7" w:rsidP="00B91FE7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f. Total revenue.</w:t>
            </w:r>
          </w:p>
          <w:p w:rsidR="00B91FE7" w:rsidRDefault="00B91FE7" w:rsidP="00B91FE7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1FE7" w:rsidRDefault="00B91FE7" w:rsidP="004E14C6">
            <w:pPr>
              <w:jc w:val="right"/>
              <w:rPr>
                <w:sz w:val="28"/>
              </w:rPr>
            </w:pPr>
            <w:r>
              <w:rPr>
                <w:sz w:val="28"/>
              </w:rPr>
              <w:t>$                     thousand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1FE7" w:rsidRDefault="00B91FE7" w:rsidP="004E14C6">
            <w:pPr>
              <w:jc w:val="right"/>
              <w:rPr>
                <w:sz w:val="28"/>
              </w:rPr>
            </w:pPr>
            <w:r>
              <w:rPr>
                <w:sz w:val="28"/>
              </w:rPr>
              <w:t>$                     thousand</w:t>
            </w:r>
          </w:p>
        </w:tc>
      </w:tr>
      <w:tr w:rsidR="00B91FE7" w:rsidRPr="003205FE" w:rsidTr="00B91FE7">
        <w:trPr>
          <w:jc w:val="right"/>
        </w:trPr>
        <w:tc>
          <w:tcPr>
            <w:tcW w:w="3600" w:type="dxa"/>
          </w:tcPr>
          <w:p w:rsidR="00B91FE7" w:rsidRDefault="00B91FE7" w:rsidP="00B91FE7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e. Total cost.</w:t>
            </w:r>
          </w:p>
          <w:p w:rsidR="00B91FE7" w:rsidRDefault="00B91FE7" w:rsidP="00B91FE7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1FE7" w:rsidRDefault="00B91FE7" w:rsidP="004E14C6">
            <w:pPr>
              <w:jc w:val="right"/>
              <w:rPr>
                <w:sz w:val="28"/>
              </w:rPr>
            </w:pPr>
            <w:r>
              <w:rPr>
                <w:sz w:val="28"/>
              </w:rPr>
              <w:t>$                     thousand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1FE7" w:rsidRDefault="00B91FE7" w:rsidP="004E14C6">
            <w:pPr>
              <w:jc w:val="right"/>
              <w:rPr>
                <w:sz w:val="28"/>
              </w:rPr>
            </w:pPr>
            <w:r>
              <w:rPr>
                <w:sz w:val="28"/>
              </w:rPr>
              <w:t>$                     thousand</w:t>
            </w:r>
          </w:p>
        </w:tc>
      </w:tr>
      <w:tr w:rsidR="00B91FE7" w:rsidRPr="003205FE" w:rsidTr="00B91FE7">
        <w:trPr>
          <w:jc w:val="right"/>
        </w:trPr>
        <w:tc>
          <w:tcPr>
            <w:tcW w:w="3600" w:type="dxa"/>
          </w:tcPr>
          <w:p w:rsidR="00B91FE7" w:rsidRDefault="00B91FE7" w:rsidP="00B91FE7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f. Total profit.</w:t>
            </w:r>
          </w:p>
          <w:p w:rsidR="00B91FE7" w:rsidRDefault="00B91FE7" w:rsidP="00B91FE7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1FE7" w:rsidRDefault="00B91FE7" w:rsidP="004E14C6">
            <w:pPr>
              <w:jc w:val="right"/>
              <w:rPr>
                <w:sz w:val="28"/>
              </w:rPr>
            </w:pPr>
            <w:r>
              <w:rPr>
                <w:sz w:val="28"/>
              </w:rPr>
              <w:t>$                     thousand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1FE7" w:rsidRDefault="00B91FE7" w:rsidP="004E14C6">
            <w:pPr>
              <w:jc w:val="right"/>
              <w:rPr>
                <w:sz w:val="28"/>
              </w:rPr>
            </w:pPr>
            <w:r>
              <w:rPr>
                <w:sz w:val="28"/>
              </w:rPr>
              <w:t>$                     thousand</w:t>
            </w:r>
          </w:p>
        </w:tc>
      </w:tr>
      <w:tr w:rsidR="00B91FE7" w:rsidRPr="003205FE" w:rsidTr="00B91FE7">
        <w:trPr>
          <w:jc w:val="right"/>
        </w:trPr>
        <w:tc>
          <w:tcPr>
            <w:tcW w:w="3600" w:type="dxa"/>
          </w:tcPr>
          <w:p w:rsidR="00B91FE7" w:rsidRDefault="00B91FE7" w:rsidP="00B91FE7">
            <w:pPr>
              <w:ind w:left="144" w:hanging="144"/>
              <w:rPr>
                <w:sz w:val="20"/>
              </w:rPr>
            </w:pPr>
            <w:r>
              <w:rPr>
                <w:sz w:val="20"/>
              </w:rPr>
              <w:t>e. Consumer surplus.</w:t>
            </w:r>
          </w:p>
          <w:p w:rsidR="00B91FE7" w:rsidRDefault="00B91FE7" w:rsidP="00B91FE7">
            <w:pPr>
              <w:ind w:left="144" w:hanging="14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1FE7" w:rsidRDefault="00B91FE7" w:rsidP="004E14C6">
            <w:pPr>
              <w:jc w:val="right"/>
              <w:rPr>
                <w:sz w:val="28"/>
              </w:rPr>
            </w:pPr>
            <w:r>
              <w:rPr>
                <w:sz w:val="28"/>
              </w:rPr>
              <w:t>$                     thousand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1FE7" w:rsidRDefault="00B91FE7" w:rsidP="004E14C6">
            <w:pPr>
              <w:jc w:val="right"/>
              <w:rPr>
                <w:sz w:val="28"/>
              </w:rPr>
            </w:pPr>
            <w:r>
              <w:rPr>
                <w:sz w:val="28"/>
              </w:rPr>
              <w:t>$                     thousand</w:t>
            </w:r>
          </w:p>
        </w:tc>
      </w:tr>
    </w:tbl>
    <w:p w:rsidR="002F4846" w:rsidRDefault="002F4846">
      <w:pPr>
        <w:rPr>
          <w:sz w:val="20"/>
        </w:rPr>
      </w:pPr>
    </w:p>
    <w:p w:rsidR="002F4846" w:rsidRPr="002F4846" w:rsidRDefault="002F4846">
      <w:pPr>
        <w:rPr>
          <w:sz w:val="20"/>
        </w:rPr>
      </w:pPr>
      <w:r w:rsidRPr="002F4846">
        <w:rPr>
          <w:sz w:val="20"/>
        </w:rPr>
        <w:br w:type="page"/>
      </w:r>
    </w:p>
    <w:p w:rsidR="00C75103" w:rsidRPr="00C94E37" w:rsidRDefault="00C75103" w:rsidP="00C75103">
      <w:pPr>
        <w:rPr>
          <w:sz w:val="20"/>
        </w:rPr>
      </w:pPr>
      <w:r w:rsidRPr="00C94E37">
        <w:rPr>
          <w:b/>
          <w:sz w:val="20"/>
        </w:rPr>
        <w:lastRenderedPageBreak/>
        <w:t>III</w:t>
      </w:r>
      <w:proofErr w:type="gramStart"/>
      <w:r w:rsidRPr="00C94E37">
        <w:rPr>
          <w:b/>
          <w:sz w:val="20"/>
        </w:rPr>
        <w:t xml:space="preserve">.  </w:t>
      </w:r>
      <w:r w:rsidR="00753B11">
        <w:rPr>
          <w:b/>
          <w:sz w:val="20"/>
        </w:rPr>
        <w:t>Challenge</w:t>
      </w:r>
      <w:proofErr w:type="gramEnd"/>
      <w:r w:rsidR="00753B11">
        <w:rPr>
          <w:b/>
          <w:sz w:val="20"/>
        </w:rPr>
        <w:t xml:space="preserve"> question</w:t>
      </w:r>
      <w:r w:rsidRPr="00C94E37">
        <w:rPr>
          <w:b/>
          <w:sz w:val="20"/>
        </w:rPr>
        <w:t>:</w:t>
      </w:r>
      <w:r w:rsidRPr="00C94E37">
        <w:rPr>
          <w:sz w:val="20"/>
        </w:rPr>
        <w:t xml:space="preserve">  Write a one-paragraph essay answering </w:t>
      </w:r>
      <w:r>
        <w:rPr>
          <w:sz w:val="20"/>
        </w:rPr>
        <w:t>the following question.</w:t>
      </w:r>
      <w:r w:rsidRPr="007E46F9">
        <w:rPr>
          <w:sz w:val="20"/>
        </w:rPr>
        <w:t xml:space="preserve">  </w:t>
      </w:r>
      <w:r w:rsidRPr="00C94E37">
        <w:rPr>
          <w:sz w:val="20"/>
        </w:rPr>
        <w:t>[</w:t>
      </w:r>
      <w:r w:rsidR="001740C1">
        <w:rPr>
          <w:sz w:val="20"/>
        </w:rPr>
        <w:t>5</w:t>
      </w:r>
      <w:r w:rsidRPr="00C94E37">
        <w:rPr>
          <w:sz w:val="20"/>
        </w:rPr>
        <w:t xml:space="preserve"> pts]</w:t>
      </w:r>
    </w:p>
    <w:p w:rsidR="00C75103" w:rsidRDefault="00C75103" w:rsidP="00C75103">
      <w:pPr>
        <w:rPr>
          <w:sz w:val="20"/>
        </w:rPr>
      </w:pPr>
    </w:p>
    <w:p w:rsidR="00C75103" w:rsidRDefault="004E14C6" w:rsidP="00C75103">
      <w:pPr>
        <w:rPr>
          <w:sz w:val="20"/>
        </w:rPr>
      </w:pPr>
      <w:r>
        <w:rPr>
          <w:sz w:val="20"/>
        </w:rPr>
        <w:t>In the late 1990s, Microsoft's Internet Explorer competed in the web-browser market against Netscape's Navigator.  (Apple Safari, Mozilla Firefox, and Google Chrome did not yet exist).  Netscape Navigator was initially priced at about $40.  Then Microsoft began giving away Internet Explorer for free.  Was this a simple case of predatory pricing</w:t>
      </w:r>
      <w:r w:rsidR="00C75103">
        <w:rPr>
          <w:sz w:val="20"/>
        </w:rPr>
        <w:t>?</w:t>
      </w:r>
      <w:r>
        <w:rPr>
          <w:sz w:val="20"/>
        </w:rPr>
        <w:t xml:space="preserve">  Why or why not?  [Hint:  </w:t>
      </w:r>
      <w:r w:rsidR="00382D91">
        <w:rPr>
          <w:sz w:val="20"/>
        </w:rPr>
        <w:t>What is the current price of</w:t>
      </w:r>
      <w:r>
        <w:rPr>
          <w:sz w:val="20"/>
        </w:rPr>
        <w:t xml:space="preserve"> Internet Explorer?]</w:t>
      </w: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E14C6" w:rsidRDefault="004E14C6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E14C6" w:rsidRDefault="004E14C6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E14C6" w:rsidRDefault="004E14C6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E14C6" w:rsidRDefault="004E14C6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E14C6" w:rsidRDefault="004E14C6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E14C6" w:rsidRDefault="004E14C6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E14C6" w:rsidRDefault="004E14C6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382D91" w:rsidRDefault="00382D91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75103" w:rsidRDefault="00C75103" w:rsidP="00C75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9E7D3C" w:rsidRPr="00C75103" w:rsidRDefault="00C75103" w:rsidP="00C75103">
      <w:pPr>
        <w:rPr>
          <w:sz w:val="20"/>
          <w:szCs w:val="20"/>
        </w:rPr>
      </w:pPr>
      <w:r>
        <w:rPr>
          <w:sz w:val="20"/>
        </w:rPr>
        <w:t>[</w:t>
      </w:r>
      <w:proofErr w:type="gramStart"/>
      <w:r>
        <w:rPr>
          <w:sz w:val="20"/>
        </w:rPr>
        <w:t>end</w:t>
      </w:r>
      <w:proofErr w:type="gramEnd"/>
      <w:r>
        <w:rPr>
          <w:sz w:val="20"/>
        </w:rPr>
        <w:t xml:space="preserve"> of quiz]</w:t>
      </w:r>
    </w:p>
    <w:sectPr w:rsidR="009E7D3C" w:rsidRPr="00C75103" w:rsidSect="00FE6A43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5F4" w:rsidRDefault="00D365F4">
      <w:r>
        <w:separator/>
      </w:r>
    </w:p>
  </w:endnote>
  <w:endnote w:type="continuationSeparator" w:id="0">
    <w:p w:rsidR="00D365F4" w:rsidRDefault="00D36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5F4" w:rsidRDefault="00D365F4">
      <w:r>
        <w:separator/>
      </w:r>
    </w:p>
  </w:footnote>
  <w:footnote w:type="continuationSeparator" w:id="0">
    <w:p w:rsidR="00D365F4" w:rsidRDefault="00D36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788"/>
      <w:gridCol w:w="4788"/>
    </w:tblGrid>
    <w:tr w:rsidR="00D365F4">
      <w:tc>
        <w:tcPr>
          <w:tcW w:w="4788" w:type="dxa"/>
        </w:tcPr>
        <w:p w:rsidR="00D365F4" w:rsidRPr="00DC447F" w:rsidRDefault="00D365F4">
          <w:pPr>
            <w:pStyle w:val="Header"/>
            <w:rPr>
              <w:sz w:val="20"/>
              <w:szCs w:val="20"/>
            </w:rPr>
          </w:pPr>
          <w:r w:rsidRPr="00DC447F">
            <w:rPr>
              <w:sz w:val="20"/>
              <w:szCs w:val="20"/>
            </w:rPr>
            <w:t xml:space="preserve">Regulation &amp; Antitrust Policy (Econ </w:t>
          </w:r>
          <w:r>
            <w:rPr>
              <w:sz w:val="20"/>
              <w:szCs w:val="20"/>
            </w:rPr>
            <w:t>180</w:t>
          </w:r>
          <w:r w:rsidRPr="00DC447F">
            <w:rPr>
              <w:sz w:val="20"/>
              <w:szCs w:val="20"/>
            </w:rPr>
            <w:t>)</w:t>
          </w:r>
        </w:p>
      </w:tc>
      <w:tc>
        <w:tcPr>
          <w:tcW w:w="4788" w:type="dxa"/>
        </w:tcPr>
        <w:p w:rsidR="00D365F4" w:rsidRPr="00DC447F" w:rsidRDefault="00D365F4" w:rsidP="00D365F4">
          <w:pPr>
            <w:pStyle w:val="Header"/>
            <w:jc w:val="right"/>
            <w:rPr>
              <w:sz w:val="20"/>
              <w:szCs w:val="20"/>
            </w:rPr>
          </w:pPr>
          <w:r w:rsidRPr="00DC447F">
            <w:rPr>
              <w:sz w:val="20"/>
              <w:szCs w:val="20"/>
            </w:rPr>
            <w:t>Quiz #</w:t>
          </w:r>
          <w:r>
            <w:rPr>
              <w:sz w:val="20"/>
              <w:szCs w:val="20"/>
            </w:rPr>
            <w:t>9 Version B</w:t>
          </w:r>
        </w:p>
      </w:tc>
    </w:tr>
    <w:tr w:rsidR="00D365F4">
      <w:tc>
        <w:tcPr>
          <w:tcW w:w="4788" w:type="dxa"/>
          <w:tcBorders>
            <w:bottom w:val="single" w:sz="4" w:space="0" w:color="auto"/>
          </w:tcBorders>
        </w:tcPr>
        <w:p w:rsidR="00D365F4" w:rsidRPr="00DC447F" w:rsidRDefault="00D365F4">
          <w:pPr>
            <w:pStyle w:val="Header"/>
            <w:rPr>
              <w:sz w:val="20"/>
              <w:szCs w:val="20"/>
            </w:rPr>
          </w:pPr>
          <w:smartTag w:uri="urn:schemas-microsoft-com:office:smarttags" w:element="place">
            <w:smartTag w:uri="urn:schemas-microsoft-com:office:smarttags" w:element="PlaceName">
              <w:r w:rsidRPr="00DC447F">
                <w:rPr>
                  <w:sz w:val="20"/>
                  <w:szCs w:val="20"/>
                </w:rPr>
                <w:t>Drake</w:t>
              </w:r>
            </w:smartTag>
            <w:r w:rsidRPr="00DC447F">
              <w:rPr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DC447F">
                <w:rPr>
                  <w:sz w:val="20"/>
                  <w:szCs w:val="20"/>
                </w:rPr>
                <w:t>University</w:t>
              </w:r>
            </w:smartTag>
          </w:smartTag>
          <w:r w:rsidRPr="00DC447F">
            <w:rPr>
              <w:sz w:val="20"/>
              <w:szCs w:val="20"/>
            </w:rPr>
            <w:t xml:space="preserve">, Spring </w:t>
          </w:r>
          <w:r>
            <w:rPr>
              <w:sz w:val="20"/>
              <w:szCs w:val="20"/>
            </w:rPr>
            <w:t>2011</w:t>
          </w:r>
        </w:p>
      </w:tc>
      <w:tc>
        <w:tcPr>
          <w:tcW w:w="4788" w:type="dxa"/>
          <w:tcBorders>
            <w:bottom w:val="single" w:sz="4" w:space="0" w:color="auto"/>
          </w:tcBorders>
        </w:tcPr>
        <w:p w:rsidR="00D365F4" w:rsidRPr="00DC447F" w:rsidRDefault="00D365F4" w:rsidP="00FE6A43">
          <w:pPr>
            <w:pStyle w:val="Header"/>
            <w:jc w:val="right"/>
            <w:rPr>
              <w:sz w:val="20"/>
              <w:szCs w:val="20"/>
            </w:rPr>
          </w:pPr>
          <w:r w:rsidRPr="00DC447F">
            <w:rPr>
              <w:sz w:val="20"/>
              <w:szCs w:val="20"/>
            </w:rPr>
            <w:t xml:space="preserve">Page </w:t>
          </w:r>
          <w:r w:rsidR="004122E6" w:rsidRPr="00DC447F">
            <w:rPr>
              <w:rStyle w:val="PageNumber"/>
              <w:sz w:val="20"/>
              <w:szCs w:val="20"/>
            </w:rPr>
            <w:fldChar w:fldCharType="begin"/>
          </w:r>
          <w:r w:rsidRPr="00DC447F">
            <w:rPr>
              <w:rStyle w:val="PageNumber"/>
              <w:sz w:val="20"/>
              <w:szCs w:val="20"/>
            </w:rPr>
            <w:instrText xml:space="preserve"> PAGE </w:instrText>
          </w:r>
          <w:r w:rsidR="004122E6" w:rsidRPr="00DC447F">
            <w:rPr>
              <w:rStyle w:val="PageNumber"/>
              <w:sz w:val="20"/>
              <w:szCs w:val="20"/>
            </w:rPr>
            <w:fldChar w:fldCharType="separate"/>
          </w:r>
          <w:r w:rsidR="0071623D">
            <w:rPr>
              <w:rStyle w:val="PageNumber"/>
              <w:noProof/>
              <w:sz w:val="20"/>
              <w:szCs w:val="20"/>
            </w:rPr>
            <w:t>3</w:t>
          </w:r>
          <w:r w:rsidR="004122E6" w:rsidRPr="00DC447F">
            <w:rPr>
              <w:rStyle w:val="PageNumber"/>
              <w:sz w:val="20"/>
              <w:szCs w:val="20"/>
            </w:rPr>
            <w:fldChar w:fldCharType="end"/>
          </w:r>
          <w:r w:rsidRPr="00DC447F">
            <w:rPr>
              <w:rStyle w:val="PageNumber"/>
              <w:sz w:val="20"/>
              <w:szCs w:val="20"/>
            </w:rPr>
            <w:t xml:space="preserve"> of </w:t>
          </w:r>
          <w:r w:rsidR="004122E6" w:rsidRPr="00DC447F">
            <w:rPr>
              <w:rStyle w:val="PageNumber"/>
              <w:sz w:val="20"/>
              <w:szCs w:val="20"/>
            </w:rPr>
            <w:fldChar w:fldCharType="begin"/>
          </w:r>
          <w:r w:rsidRPr="00DC447F">
            <w:rPr>
              <w:rStyle w:val="PageNumber"/>
              <w:sz w:val="20"/>
              <w:szCs w:val="20"/>
            </w:rPr>
            <w:instrText xml:space="preserve"> NUMPAGES </w:instrText>
          </w:r>
          <w:r w:rsidR="004122E6" w:rsidRPr="00DC447F">
            <w:rPr>
              <w:rStyle w:val="PageNumber"/>
              <w:sz w:val="20"/>
              <w:szCs w:val="20"/>
            </w:rPr>
            <w:fldChar w:fldCharType="separate"/>
          </w:r>
          <w:r w:rsidR="0071623D">
            <w:rPr>
              <w:rStyle w:val="PageNumber"/>
              <w:noProof/>
              <w:sz w:val="20"/>
              <w:szCs w:val="20"/>
            </w:rPr>
            <w:t>5</w:t>
          </w:r>
          <w:r w:rsidR="004122E6" w:rsidRPr="00DC447F">
            <w:rPr>
              <w:rStyle w:val="PageNumber"/>
              <w:sz w:val="20"/>
              <w:szCs w:val="20"/>
            </w:rPr>
            <w:fldChar w:fldCharType="end"/>
          </w:r>
        </w:p>
      </w:tc>
    </w:tr>
  </w:tbl>
  <w:p w:rsidR="00D365F4" w:rsidRDefault="00D365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3E4E"/>
    <w:multiLevelType w:val="hybridMultilevel"/>
    <w:tmpl w:val="0A86131E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2258A6"/>
    <w:multiLevelType w:val="hybridMultilevel"/>
    <w:tmpl w:val="D73A4954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EB051E"/>
    <w:multiLevelType w:val="hybridMultilevel"/>
    <w:tmpl w:val="622CBB50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7247A4"/>
    <w:multiLevelType w:val="hybridMultilevel"/>
    <w:tmpl w:val="1FDC7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F14375"/>
    <w:multiLevelType w:val="multilevel"/>
    <w:tmpl w:val="E51C22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2065AF"/>
    <w:multiLevelType w:val="hybridMultilevel"/>
    <w:tmpl w:val="5D923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371C5"/>
    <w:multiLevelType w:val="hybridMultilevel"/>
    <w:tmpl w:val="A9A0D78C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5279A4"/>
    <w:multiLevelType w:val="hybridMultilevel"/>
    <w:tmpl w:val="6406BF34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C632B70"/>
    <w:multiLevelType w:val="hybridMultilevel"/>
    <w:tmpl w:val="70E469C8"/>
    <w:lvl w:ilvl="0" w:tplc="5F500B1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8F16AB"/>
    <w:multiLevelType w:val="hybridMultilevel"/>
    <w:tmpl w:val="C27A735A"/>
    <w:lvl w:ilvl="0" w:tplc="7FAC59E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4C022CC"/>
    <w:multiLevelType w:val="hybridMultilevel"/>
    <w:tmpl w:val="318AEE84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3E3705"/>
    <w:multiLevelType w:val="hybridMultilevel"/>
    <w:tmpl w:val="D8247ADC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55D98"/>
    <w:multiLevelType w:val="hybridMultilevel"/>
    <w:tmpl w:val="E51C2266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FAC59E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2E548F0"/>
    <w:multiLevelType w:val="hybridMultilevel"/>
    <w:tmpl w:val="E51C2266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FAC59E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72A73DF"/>
    <w:multiLevelType w:val="hybridMultilevel"/>
    <w:tmpl w:val="AEC64DD0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F88136B"/>
    <w:multiLevelType w:val="hybridMultilevel"/>
    <w:tmpl w:val="106690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4246AAF"/>
    <w:multiLevelType w:val="hybridMultilevel"/>
    <w:tmpl w:val="3C3AF43E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565EDB"/>
    <w:multiLevelType w:val="hybridMultilevel"/>
    <w:tmpl w:val="82B853BC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A7282B"/>
    <w:multiLevelType w:val="hybridMultilevel"/>
    <w:tmpl w:val="EEE689DA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77E6674"/>
    <w:multiLevelType w:val="hybridMultilevel"/>
    <w:tmpl w:val="08EECDDC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D9B7D67"/>
    <w:multiLevelType w:val="hybridMultilevel"/>
    <w:tmpl w:val="4A24A6D6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2"/>
  </w:num>
  <w:num w:numId="5">
    <w:abstractNumId w:val="18"/>
  </w:num>
  <w:num w:numId="6">
    <w:abstractNumId w:val="19"/>
  </w:num>
  <w:num w:numId="7">
    <w:abstractNumId w:val="0"/>
  </w:num>
  <w:num w:numId="8">
    <w:abstractNumId w:val="14"/>
  </w:num>
  <w:num w:numId="9">
    <w:abstractNumId w:val="8"/>
  </w:num>
  <w:num w:numId="10">
    <w:abstractNumId w:val="11"/>
  </w:num>
  <w:num w:numId="11">
    <w:abstractNumId w:val="16"/>
  </w:num>
  <w:num w:numId="12">
    <w:abstractNumId w:val="10"/>
  </w:num>
  <w:num w:numId="13">
    <w:abstractNumId w:val="9"/>
  </w:num>
  <w:num w:numId="14">
    <w:abstractNumId w:val="20"/>
  </w:num>
  <w:num w:numId="15">
    <w:abstractNumId w:val="4"/>
  </w:num>
  <w:num w:numId="16">
    <w:abstractNumId w:val="6"/>
  </w:num>
  <w:num w:numId="17">
    <w:abstractNumId w:val="15"/>
  </w:num>
  <w:num w:numId="18">
    <w:abstractNumId w:val="3"/>
  </w:num>
  <w:num w:numId="19">
    <w:abstractNumId w:val="17"/>
  </w:num>
  <w:num w:numId="20">
    <w:abstractNumId w:val="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C97"/>
    <w:rsid w:val="00010B45"/>
    <w:rsid w:val="0004615C"/>
    <w:rsid w:val="00054350"/>
    <w:rsid w:val="000920FA"/>
    <w:rsid w:val="00093407"/>
    <w:rsid w:val="000C0F55"/>
    <w:rsid w:val="000C138D"/>
    <w:rsid w:val="000C25C8"/>
    <w:rsid w:val="000D1119"/>
    <w:rsid w:val="001177F2"/>
    <w:rsid w:val="00123422"/>
    <w:rsid w:val="00133D40"/>
    <w:rsid w:val="0014722D"/>
    <w:rsid w:val="0017264B"/>
    <w:rsid w:val="001740C1"/>
    <w:rsid w:val="0019514C"/>
    <w:rsid w:val="001A26B2"/>
    <w:rsid w:val="001A5C46"/>
    <w:rsid w:val="001B01C6"/>
    <w:rsid w:val="001B7955"/>
    <w:rsid w:val="001C29A0"/>
    <w:rsid w:val="001C7981"/>
    <w:rsid w:val="001E231F"/>
    <w:rsid w:val="00206EAA"/>
    <w:rsid w:val="00212443"/>
    <w:rsid w:val="0021569D"/>
    <w:rsid w:val="0022135B"/>
    <w:rsid w:val="00221C98"/>
    <w:rsid w:val="002253DE"/>
    <w:rsid w:val="0028761F"/>
    <w:rsid w:val="00287C6E"/>
    <w:rsid w:val="00291E65"/>
    <w:rsid w:val="00295715"/>
    <w:rsid w:val="002B1C44"/>
    <w:rsid w:val="002B2718"/>
    <w:rsid w:val="002B6DE3"/>
    <w:rsid w:val="002E42EA"/>
    <w:rsid w:val="002F2CB2"/>
    <w:rsid w:val="002F4846"/>
    <w:rsid w:val="00321886"/>
    <w:rsid w:val="00336C97"/>
    <w:rsid w:val="0033787B"/>
    <w:rsid w:val="00340964"/>
    <w:rsid w:val="003411CB"/>
    <w:rsid w:val="00346C5F"/>
    <w:rsid w:val="00353BE5"/>
    <w:rsid w:val="003612F8"/>
    <w:rsid w:val="00382D91"/>
    <w:rsid w:val="003A19EF"/>
    <w:rsid w:val="003C2FB9"/>
    <w:rsid w:val="003C7DEA"/>
    <w:rsid w:val="003E0598"/>
    <w:rsid w:val="003E0893"/>
    <w:rsid w:val="003F6D89"/>
    <w:rsid w:val="004122E6"/>
    <w:rsid w:val="004148EE"/>
    <w:rsid w:val="0043135D"/>
    <w:rsid w:val="004548FC"/>
    <w:rsid w:val="004679E3"/>
    <w:rsid w:val="0048019A"/>
    <w:rsid w:val="0048516C"/>
    <w:rsid w:val="004911D7"/>
    <w:rsid w:val="004A0160"/>
    <w:rsid w:val="004A08E7"/>
    <w:rsid w:val="004A1242"/>
    <w:rsid w:val="004A566C"/>
    <w:rsid w:val="004B444C"/>
    <w:rsid w:val="004B4F6B"/>
    <w:rsid w:val="004E14C6"/>
    <w:rsid w:val="004E1549"/>
    <w:rsid w:val="004E643C"/>
    <w:rsid w:val="00502B54"/>
    <w:rsid w:val="005647B1"/>
    <w:rsid w:val="00586445"/>
    <w:rsid w:val="00590852"/>
    <w:rsid w:val="0059170A"/>
    <w:rsid w:val="00593025"/>
    <w:rsid w:val="005C6302"/>
    <w:rsid w:val="005E5C74"/>
    <w:rsid w:val="005E7114"/>
    <w:rsid w:val="00614956"/>
    <w:rsid w:val="00631AED"/>
    <w:rsid w:val="00647ACF"/>
    <w:rsid w:val="00655AC2"/>
    <w:rsid w:val="006643EC"/>
    <w:rsid w:val="00666B5B"/>
    <w:rsid w:val="006852C8"/>
    <w:rsid w:val="006C2362"/>
    <w:rsid w:val="006C5BC4"/>
    <w:rsid w:val="006D12E7"/>
    <w:rsid w:val="006D53D7"/>
    <w:rsid w:val="0071623D"/>
    <w:rsid w:val="007409F4"/>
    <w:rsid w:val="00740D54"/>
    <w:rsid w:val="00744021"/>
    <w:rsid w:val="00744F80"/>
    <w:rsid w:val="007461E9"/>
    <w:rsid w:val="00753B11"/>
    <w:rsid w:val="00756823"/>
    <w:rsid w:val="007621C5"/>
    <w:rsid w:val="0078686D"/>
    <w:rsid w:val="007A3E18"/>
    <w:rsid w:val="007A5935"/>
    <w:rsid w:val="007A612D"/>
    <w:rsid w:val="007B07E7"/>
    <w:rsid w:val="00824978"/>
    <w:rsid w:val="00843F95"/>
    <w:rsid w:val="008621F2"/>
    <w:rsid w:val="008A171E"/>
    <w:rsid w:val="008A187B"/>
    <w:rsid w:val="008B2132"/>
    <w:rsid w:val="008C3D90"/>
    <w:rsid w:val="008C43C4"/>
    <w:rsid w:val="008C61EB"/>
    <w:rsid w:val="008D1A55"/>
    <w:rsid w:val="00901721"/>
    <w:rsid w:val="0090620B"/>
    <w:rsid w:val="00916896"/>
    <w:rsid w:val="00921872"/>
    <w:rsid w:val="00931F5C"/>
    <w:rsid w:val="009752D2"/>
    <w:rsid w:val="00983B11"/>
    <w:rsid w:val="00984F79"/>
    <w:rsid w:val="009947C3"/>
    <w:rsid w:val="009A1A3E"/>
    <w:rsid w:val="009B061B"/>
    <w:rsid w:val="009B21B5"/>
    <w:rsid w:val="009E3880"/>
    <w:rsid w:val="009E7D3C"/>
    <w:rsid w:val="009F6851"/>
    <w:rsid w:val="00A04C51"/>
    <w:rsid w:val="00A25965"/>
    <w:rsid w:val="00A37B46"/>
    <w:rsid w:val="00A65D87"/>
    <w:rsid w:val="00AB4A10"/>
    <w:rsid w:val="00AC465E"/>
    <w:rsid w:val="00AF22F1"/>
    <w:rsid w:val="00B75406"/>
    <w:rsid w:val="00B8077F"/>
    <w:rsid w:val="00B86C07"/>
    <w:rsid w:val="00B91FE7"/>
    <w:rsid w:val="00B97B97"/>
    <w:rsid w:val="00BC3A8D"/>
    <w:rsid w:val="00BE4824"/>
    <w:rsid w:val="00BF0F5E"/>
    <w:rsid w:val="00BF1376"/>
    <w:rsid w:val="00BF2EA6"/>
    <w:rsid w:val="00BF6707"/>
    <w:rsid w:val="00C02B67"/>
    <w:rsid w:val="00C04FC0"/>
    <w:rsid w:val="00C1582F"/>
    <w:rsid w:val="00C41AFD"/>
    <w:rsid w:val="00C430E0"/>
    <w:rsid w:val="00C5297B"/>
    <w:rsid w:val="00C7149E"/>
    <w:rsid w:val="00C73AC3"/>
    <w:rsid w:val="00C75103"/>
    <w:rsid w:val="00C82A56"/>
    <w:rsid w:val="00C9355D"/>
    <w:rsid w:val="00CA3058"/>
    <w:rsid w:val="00CA45ED"/>
    <w:rsid w:val="00D16A18"/>
    <w:rsid w:val="00D16FDE"/>
    <w:rsid w:val="00D365F4"/>
    <w:rsid w:val="00D36D5B"/>
    <w:rsid w:val="00D56037"/>
    <w:rsid w:val="00D56FB7"/>
    <w:rsid w:val="00D649B0"/>
    <w:rsid w:val="00D83FE5"/>
    <w:rsid w:val="00D91BD9"/>
    <w:rsid w:val="00DB00D8"/>
    <w:rsid w:val="00DB27B6"/>
    <w:rsid w:val="00DB6B45"/>
    <w:rsid w:val="00DC447F"/>
    <w:rsid w:val="00DC513A"/>
    <w:rsid w:val="00DC76AA"/>
    <w:rsid w:val="00DE3B2A"/>
    <w:rsid w:val="00DF2865"/>
    <w:rsid w:val="00E65452"/>
    <w:rsid w:val="00EC540F"/>
    <w:rsid w:val="00ED5CFA"/>
    <w:rsid w:val="00EE72A3"/>
    <w:rsid w:val="00EF092F"/>
    <w:rsid w:val="00F15658"/>
    <w:rsid w:val="00F51607"/>
    <w:rsid w:val="00F7749D"/>
    <w:rsid w:val="00F80653"/>
    <w:rsid w:val="00F8696A"/>
    <w:rsid w:val="00F91AC3"/>
    <w:rsid w:val="00F97792"/>
    <w:rsid w:val="00FB21FF"/>
    <w:rsid w:val="00FB7447"/>
    <w:rsid w:val="00FC59D3"/>
    <w:rsid w:val="00FD0D7A"/>
    <w:rsid w:val="00FD0EA7"/>
    <w:rsid w:val="00FD4D81"/>
    <w:rsid w:val="00FD7CD9"/>
    <w:rsid w:val="00FE6A43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1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7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6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E6A4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er">
    <w:name w:val="header"/>
    <w:basedOn w:val="Normal"/>
    <w:rsid w:val="00FE6A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6A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6A43"/>
  </w:style>
  <w:style w:type="paragraph" w:styleId="FootnoteText">
    <w:name w:val="footnote text"/>
    <w:basedOn w:val="Normal"/>
    <w:semiHidden/>
    <w:rsid w:val="00BF0F5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F0F5E"/>
    <w:rPr>
      <w:vertAlign w:val="superscript"/>
    </w:rPr>
  </w:style>
  <w:style w:type="paragraph" w:styleId="BalloonText">
    <w:name w:val="Balloon Text"/>
    <w:basedOn w:val="Normal"/>
    <w:link w:val="BalloonTextChar"/>
    <w:rsid w:val="00B91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1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.Teaching\180%20Regulation%20&amp;%20Antitrust\2011%20spring\exams\11spq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scatterChart>
        <c:scatterStyle val="lineMarker"/>
        <c:ser>
          <c:idx val="0"/>
          <c:order val="0"/>
          <c:tx>
            <c:strRef>
              <c:f>'Version A'!$B$43</c:f>
              <c:strCache>
                <c:ptCount val="1"/>
                <c:pt idx="0">
                  <c:v>Demand</c:v>
                </c:pt>
              </c:strCache>
            </c:strRef>
          </c:tx>
          <c:xVal>
            <c:numRef>
              <c:f>'Version A'!$A$44:$A$59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xVal>
          <c:yVal>
            <c:numRef>
              <c:f>'Version A'!$B$44:$B$59</c:f>
              <c:numCache>
                <c:formatCode>General</c:formatCode>
                <c:ptCount val="16"/>
                <c:pt idx="0">
                  <c:v>14</c:v>
                </c:pt>
                <c:pt idx="1">
                  <c:v>13</c:v>
                </c:pt>
                <c:pt idx="2">
                  <c:v>12</c:v>
                </c:pt>
                <c:pt idx="3">
                  <c:v>11</c:v>
                </c:pt>
                <c:pt idx="4">
                  <c:v>10</c:v>
                </c:pt>
                <c:pt idx="5">
                  <c:v>9</c:v>
                </c:pt>
                <c:pt idx="6">
                  <c:v>8</c:v>
                </c:pt>
                <c:pt idx="7">
                  <c:v>7</c:v>
                </c:pt>
                <c:pt idx="8">
                  <c:v>6</c:v>
                </c:pt>
                <c:pt idx="9">
                  <c:v>5</c:v>
                </c:pt>
                <c:pt idx="10">
                  <c:v>4</c:v>
                </c:pt>
                <c:pt idx="11">
                  <c:v>3</c:v>
                </c:pt>
                <c:pt idx="12">
                  <c:v>2</c:v>
                </c:pt>
                <c:pt idx="13">
                  <c:v>1</c:v>
                </c:pt>
                <c:pt idx="14">
                  <c:v>0</c:v>
                </c:pt>
                <c:pt idx="15">
                  <c:v>-1</c:v>
                </c:pt>
              </c:numCache>
            </c:numRef>
          </c:yVal>
        </c:ser>
        <c:ser>
          <c:idx val="1"/>
          <c:order val="1"/>
          <c:tx>
            <c:strRef>
              <c:f>'Version A'!$C$43</c:f>
              <c:strCache>
                <c:ptCount val="1"/>
                <c:pt idx="0">
                  <c:v>Marginal cost</c:v>
                </c:pt>
              </c:strCache>
            </c:strRef>
          </c:tx>
          <c:marker>
            <c:symbol val="square"/>
            <c:size val="10"/>
            <c:spPr>
              <a:noFill/>
            </c:spPr>
          </c:marker>
          <c:xVal>
            <c:numRef>
              <c:f>'Version A'!$A$44:$A$59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xVal>
          <c:yVal>
            <c:numRef>
              <c:f>'Version A'!$C$44:$C$59</c:f>
              <c:numCache>
                <c:formatCode>General</c:formatCode>
                <c:ptCount val="16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</c:numCache>
            </c:numRef>
          </c:yVal>
        </c:ser>
        <c:ser>
          <c:idx val="2"/>
          <c:order val="2"/>
          <c:tx>
            <c:strRef>
              <c:f>'Version A'!$D$43</c:f>
              <c:strCache>
                <c:ptCount val="1"/>
                <c:pt idx="0">
                  <c:v>Average cost</c:v>
                </c:pt>
              </c:strCache>
            </c:strRef>
          </c:tx>
          <c:marker>
            <c:symbol val="triangle"/>
            <c:size val="10"/>
            <c:spPr>
              <a:noFill/>
            </c:spPr>
          </c:marker>
          <c:xVal>
            <c:numRef>
              <c:f>'Version A'!$A$44:$A$59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xVal>
          <c:yVal>
            <c:numRef>
              <c:f>'Version A'!$D$44:$D$59</c:f>
              <c:numCache>
                <c:formatCode>General</c:formatCode>
                <c:ptCount val="16"/>
                <c:pt idx="0">
                  <c:v>2</c:v>
                </c:pt>
                <c:pt idx="1">
                  <c:v>2.5</c:v>
                </c:pt>
                <c:pt idx="2">
                  <c:v>3</c:v>
                </c:pt>
                <c:pt idx="3">
                  <c:v>3.5</c:v>
                </c:pt>
                <c:pt idx="4">
                  <c:v>4</c:v>
                </c:pt>
                <c:pt idx="5">
                  <c:v>4.5</c:v>
                </c:pt>
                <c:pt idx="6">
                  <c:v>5</c:v>
                </c:pt>
                <c:pt idx="7">
                  <c:v>5.5</c:v>
                </c:pt>
                <c:pt idx="8">
                  <c:v>6</c:v>
                </c:pt>
                <c:pt idx="9">
                  <c:v>6.5</c:v>
                </c:pt>
                <c:pt idx="10">
                  <c:v>7</c:v>
                </c:pt>
                <c:pt idx="11">
                  <c:v>7.5</c:v>
                </c:pt>
                <c:pt idx="12">
                  <c:v>8</c:v>
                </c:pt>
                <c:pt idx="13">
                  <c:v>8.5</c:v>
                </c:pt>
                <c:pt idx="14">
                  <c:v>9</c:v>
                </c:pt>
                <c:pt idx="15">
                  <c:v>9.5</c:v>
                </c:pt>
              </c:numCache>
            </c:numRef>
          </c:yVal>
        </c:ser>
        <c:axId val="94450048"/>
        <c:axId val="94452352"/>
      </c:scatterChart>
      <c:valAx>
        <c:axId val="94450048"/>
        <c:scaling>
          <c:orientation val="minMax"/>
          <c:max val="12"/>
          <c:min val="0"/>
        </c:scaling>
        <c:axPos val="b"/>
        <c:majorGridlines/>
        <c:title>
          <c:tx>
            <c:rich>
              <a:bodyPr/>
              <a:lstStyle/>
              <a:p>
                <a:pPr>
                  <a:defRPr sz="1200" baseline="0"/>
                </a:pPr>
                <a:r>
                  <a:rPr lang="en-US" sz="1200" baseline="0"/>
                  <a:t>Quantity (thousands)</a:t>
                </a: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sz="1200" baseline="0"/>
            </a:pPr>
            <a:endParaRPr lang="en-US"/>
          </a:p>
        </c:txPr>
        <c:crossAx val="94452352"/>
        <c:crosses val="autoZero"/>
        <c:crossBetween val="midCat"/>
        <c:majorUnit val="1"/>
      </c:valAx>
      <c:valAx>
        <c:axId val="94452352"/>
        <c:scaling>
          <c:orientation val="minMax"/>
          <c:max val="14"/>
          <c:min val="0"/>
        </c:scaling>
        <c:axPos val="l"/>
        <c:majorGridlines/>
        <c:numFmt formatCode="&quot;$&quot;#,##0" sourceLinked="0"/>
        <c:tickLblPos val="nextTo"/>
        <c:txPr>
          <a:bodyPr/>
          <a:lstStyle/>
          <a:p>
            <a:pPr>
              <a:defRPr sz="1200" baseline="0"/>
            </a:pPr>
            <a:endParaRPr lang="en-US"/>
          </a:p>
        </c:txPr>
        <c:crossAx val="94450048"/>
        <c:crosses val="autoZero"/>
        <c:crossBetween val="midCat"/>
        <c:majorUnit val="1"/>
      </c:valAx>
    </c:plotArea>
    <c:legend>
      <c:legendPos val="r"/>
      <c:layout/>
      <c:txPr>
        <a:bodyPr/>
        <a:lstStyle/>
        <a:p>
          <a:pPr>
            <a:defRPr sz="1200" baseline="0"/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1420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Regulation &amp; Antitrust Policy (Econ 198)</vt:lpstr>
    </vt:vector>
  </TitlesOfParts>
  <Company>CBPA, Drake University</Company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 &amp; Antitrust Policy (Econ 198)</dc:title>
  <dc:subject/>
  <dc:creator>William Boal</dc:creator>
  <cp:keywords/>
  <dc:description/>
  <cp:lastModifiedBy>000001363</cp:lastModifiedBy>
  <cp:revision>7</cp:revision>
  <cp:lastPrinted>2011-03-30T15:36:00Z</cp:lastPrinted>
  <dcterms:created xsi:type="dcterms:W3CDTF">2011-03-29T18:54:00Z</dcterms:created>
  <dcterms:modified xsi:type="dcterms:W3CDTF">2011-04-01T18:26:00Z</dcterms:modified>
</cp:coreProperties>
</file>