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8"/>
        <w:gridCol w:w="1836"/>
        <w:gridCol w:w="3600"/>
      </w:tblGrid>
      <w:tr w:rsidR="00FE6A43" w:rsidRPr="008637D8" w:rsidTr="008637D8">
        <w:tc>
          <w:tcPr>
            <w:tcW w:w="4068" w:type="dxa"/>
          </w:tcPr>
          <w:p w:rsidR="00FE6A43" w:rsidRPr="008637D8" w:rsidRDefault="00FE6A43">
            <w:pPr>
              <w:rPr>
                <w:sz w:val="20"/>
                <w:szCs w:val="20"/>
              </w:rPr>
            </w:pPr>
            <w:r w:rsidRPr="008637D8">
              <w:rPr>
                <w:sz w:val="20"/>
                <w:szCs w:val="20"/>
              </w:rPr>
              <w:t xml:space="preserve">Regulation &amp; Antitrust Policy (Econ </w:t>
            </w:r>
            <w:r w:rsidR="002253DE" w:rsidRPr="008637D8">
              <w:rPr>
                <w:sz w:val="20"/>
                <w:szCs w:val="20"/>
              </w:rPr>
              <w:t>180</w:t>
            </w:r>
            <w:r w:rsidRPr="008637D8">
              <w:rPr>
                <w:sz w:val="20"/>
                <w:szCs w:val="20"/>
              </w:rPr>
              <w:t>)</w:t>
            </w:r>
          </w:p>
        </w:tc>
        <w:tc>
          <w:tcPr>
            <w:tcW w:w="1836" w:type="dxa"/>
          </w:tcPr>
          <w:p w:rsidR="00FE6A43" w:rsidRPr="008637D8" w:rsidRDefault="00FE6A43" w:rsidP="008637D8">
            <w:pPr>
              <w:jc w:val="right"/>
              <w:rPr>
                <w:sz w:val="20"/>
                <w:szCs w:val="20"/>
              </w:rPr>
            </w:pPr>
            <w:r w:rsidRPr="008637D8">
              <w:rPr>
                <w:sz w:val="20"/>
                <w:szCs w:val="20"/>
              </w:rPr>
              <w:t>Signature:</w:t>
            </w:r>
          </w:p>
        </w:tc>
        <w:tc>
          <w:tcPr>
            <w:tcW w:w="3600" w:type="dxa"/>
            <w:tcBorders>
              <w:bottom w:val="single" w:sz="4" w:space="0" w:color="auto"/>
            </w:tcBorders>
          </w:tcPr>
          <w:p w:rsidR="00FE6A43" w:rsidRPr="008637D8" w:rsidRDefault="00FE6A43">
            <w:pPr>
              <w:rPr>
                <w:sz w:val="20"/>
                <w:szCs w:val="20"/>
              </w:rPr>
            </w:pPr>
          </w:p>
        </w:tc>
      </w:tr>
      <w:tr w:rsidR="00FE6A43" w:rsidRPr="008637D8" w:rsidTr="008637D8">
        <w:tc>
          <w:tcPr>
            <w:tcW w:w="4068" w:type="dxa"/>
          </w:tcPr>
          <w:p w:rsidR="00FE6A43" w:rsidRPr="008637D8" w:rsidRDefault="00FE6A43">
            <w:pPr>
              <w:rPr>
                <w:sz w:val="20"/>
                <w:szCs w:val="20"/>
              </w:rPr>
            </w:pPr>
            <w:smartTag w:uri="urn:schemas-microsoft-com:office:smarttags" w:element="place">
              <w:smartTag w:uri="urn:schemas-microsoft-com:office:smarttags" w:element="PlaceName">
                <w:r w:rsidRPr="008637D8">
                  <w:rPr>
                    <w:sz w:val="20"/>
                    <w:szCs w:val="20"/>
                  </w:rPr>
                  <w:t>Drake</w:t>
                </w:r>
              </w:smartTag>
              <w:r w:rsidRPr="008637D8">
                <w:rPr>
                  <w:sz w:val="20"/>
                  <w:szCs w:val="20"/>
                </w:rPr>
                <w:t xml:space="preserve"> </w:t>
              </w:r>
              <w:smartTag w:uri="urn:schemas-microsoft-com:office:smarttags" w:element="PlaceType">
                <w:r w:rsidRPr="008637D8">
                  <w:rPr>
                    <w:sz w:val="20"/>
                    <w:szCs w:val="20"/>
                  </w:rPr>
                  <w:t>University</w:t>
                </w:r>
              </w:smartTag>
            </w:smartTag>
            <w:r w:rsidRPr="008637D8">
              <w:rPr>
                <w:sz w:val="20"/>
                <w:szCs w:val="20"/>
              </w:rPr>
              <w:t xml:space="preserve">, Spring </w:t>
            </w:r>
            <w:r w:rsidR="00730B3A">
              <w:rPr>
                <w:sz w:val="20"/>
                <w:szCs w:val="20"/>
              </w:rPr>
              <w:t>2011</w:t>
            </w:r>
          </w:p>
          <w:p w:rsidR="00FE6A43" w:rsidRPr="008637D8" w:rsidRDefault="00FE6A43">
            <w:pPr>
              <w:rPr>
                <w:sz w:val="20"/>
                <w:szCs w:val="20"/>
              </w:rPr>
            </w:pPr>
            <w:r w:rsidRPr="008637D8">
              <w:rPr>
                <w:sz w:val="20"/>
                <w:szCs w:val="20"/>
              </w:rPr>
              <w:t>William M. Boal</w:t>
            </w:r>
          </w:p>
        </w:tc>
        <w:tc>
          <w:tcPr>
            <w:tcW w:w="1836" w:type="dxa"/>
          </w:tcPr>
          <w:p w:rsidR="00FE6A43" w:rsidRPr="008637D8" w:rsidRDefault="00FE6A43" w:rsidP="008637D8">
            <w:pPr>
              <w:jc w:val="right"/>
              <w:rPr>
                <w:sz w:val="20"/>
                <w:szCs w:val="20"/>
              </w:rPr>
            </w:pPr>
          </w:p>
          <w:p w:rsidR="00FE6A43" w:rsidRPr="008637D8" w:rsidRDefault="00FE6A43" w:rsidP="008637D8">
            <w:pPr>
              <w:jc w:val="right"/>
              <w:rPr>
                <w:sz w:val="20"/>
                <w:szCs w:val="20"/>
              </w:rPr>
            </w:pPr>
            <w:r w:rsidRPr="008637D8">
              <w:rPr>
                <w:sz w:val="20"/>
                <w:szCs w:val="20"/>
              </w:rPr>
              <w:t>Printed name:</w:t>
            </w:r>
          </w:p>
        </w:tc>
        <w:tc>
          <w:tcPr>
            <w:tcW w:w="3600" w:type="dxa"/>
            <w:tcBorders>
              <w:top w:val="single" w:sz="4" w:space="0" w:color="auto"/>
              <w:bottom w:val="single" w:sz="4" w:space="0" w:color="auto"/>
            </w:tcBorders>
          </w:tcPr>
          <w:p w:rsidR="00FE6A43" w:rsidRPr="008637D8"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C2136D">
        <w:rPr>
          <w:b/>
          <w:sz w:val="28"/>
          <w:szCs w:val="28"/>
        </w:rPr>
        <w:t>7</w:t>
      </w:r>
      <w:r>
        <w:rPr>
          <w:b/>
          <w:sz w:val="28"/>
          <w:szCs w:val="28"/>
        </w:rPr>
        <w:t xml:space="preserve"> VERSION A</w:t>
      </w:r>
    </w:p>
    <w:p w:rsidR="00FE6A43" w:rsidRPr="00FE6A43" w:rsidRDefault="00FE6A43" w:rsidP="00FE6A43">
      <w:pPr>
        <w:jc w:val="center"/>
        <w:rPr>
          <w:b/>
          <w:sz w:val="28"/>
          <w:szCs w:val="28"/>
        </w:rPr>
      </w:pPr>
      <w:r w:rsidRPr="00FE6A43">
        <w:rPr>
          <w:b/>
          <w:sz w:val="28"/>
          <w:szCs w:val="28"/>
        </w:rPr>
        <w:t>"</w:t>
      </w:r>
      <w:r w:rsidR="00C2136D">
        <w:rPr>
          <w:b/>
          <w:sz w:val="28"/>
          <w:szCs w:val="28"/>
        </w:rPr>
        <w:t>Horizontal Mergers</w:t>
      </w:r>
      <w:r w:rsidRPr="00FE6A43">
        <w:rPr>
          <w:b/>
          <w:sz w:val="28"/>
          <w:szCs w:val="28"/>
        </w:rPr>
        <w:t>"</w:t>
      </w:r>
    </w:p>
    <w:p w:rsidR="008621F2" w:rsidRDefault="008621F2">
      <w:pPr>
        <w:rPr>
          <w:sz w:val="20"/>
          <w:szCs w:val="20"/>
        </w:rPr>
      </w:pPr>
    </w:p>
    <w:p w:rsidR="00C2136D" w:rsidRPr="00B53019" w:rsidRDefault="00C2136D" w:rsidP="00C2136D">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E6A43" w:rsidRDefault="00FE6A43" w:rsidP="00FE6A43">
      <w:pPr>
        <w:rPr>
          <w:sz w:val="20"/>
        </w:rPr>
      </w:pPr>
    </w:p>
    <w:p w:rsidR="00C2136D" w:rsidRDefault="00C2136D"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2363C4">
        <w:rPr>
          <w:sz w:val="20"/>
        </w:rPr>
        <w:t>2</w:t>
      </w:r>
      <w:r>
        <w:rPr>
          <w:sz w:val="20"/>
        </w:rPr>
        <w:t xml:space="preserve"> pts each: </w:t>
      </w:r>
      <w:r w:rsidR="002363C4">
        <w:rPr>
          <w:sz w:val="20"/>
        </w:rPr>
        <w:t>14</w:t>
      </w:r>
      <w:r w:rsidR="00133D40">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2363C4" w:rsidRDefault="002363C4" w:rsidP="002363C4">
      <w:pPr>
        <w:rPr>
          <w:sz w:val="20"/>
        </w:rPr>
      </w:pPr>
      <w:r>
        <w:rPr>
          <w:sz w:val="20"/>
        </w:rPr>
        <w:lastRenderedPageBreak/>
        <w:t>(1) The U.S. Supreme Court used inconsistent definitions of markets in the</w:t>
      </w:r>
    </w:p>
    <w:p w:rsidR="002363C4" w:rsidRDefault="002363C4" w:rsidP="002363C4">
      <w:pPr>
        <w:numPr>
          <w:ilvl w:val="0"/>
          <w:numId w:val="32"/>
        </w:numPr>
        <w:rPr>
          <w:sz w:val="20"/>
        </w:rPr>
      </w:pPr>
      <w:r w:rsidRPr="005E1BBF">
        <w:rPr>
          <w:i/>
          <w:sz w:val="20"/>
        </w:rPr>
        <w:t>ALCOA</w:t>
      </w:r>
      <w:r>
        <w:rPr>
          <w:sz w:val="20"/>
        </w:rPr>
        <w:t xml:space="preserve"> (1964) and </w:t>
      </w:r>
      <w:r w:rsidRPr="005E1BBF">
        <w:rPr>
          <w:i/>
          <w:sz w:val="20"/>
        </w:rPr>
        <w:t>Continental Can</w:t>
      </w:r>
      <w:r>
        <w:rPr>
          <w:sz w:val="20"/>
        </w:rPr>
        <w:t xml:space="preserve"> (1964) cases.</w:t>
      </w:r>
    </w:p>
    <w:p w:rsidR="002363C4" w:rsidRPr="005E1BBF" w:rsidRDefault="002363C4" w:rsidP="002363C4">
      <w:pPr>
        <w:numPr>
          <w:ilvl w:val="0"/>
          <w:numId w:val="32"/>
        </w:numPr>
        <w:rPr>
          <w:sz w:val="20"/>
        </w:rPr>
      </w:pPr>
      <w:r w:rsidRPr="006E1BBB">
        <w:rPr>
          <w:i/>
          <w:sz w:val="20"/>
        </w:rPr>
        <w:t>Bethlehem Steel</w:t>
      </w:r>
      <w:r>
        <w:rPr>
          <w:sz w:val="20"/>
        </w:rPr>
        <w:t xml:space="preserve"> (1958) and </w:t>
      </w:r>
      <w:r w:rsidRPr="005E1BBF">
        <w:rPr>
          <w:i/>
          <w:sz w:val="20"/>
        </w:rPr>
        <w:t>Procter and Gamble-Clorox</w:t>
      </w:r>
      <w:r>
        <w:rPr>
          <w:sz w:val="20"/>
        </w:rPr>
        <w:t xml:space="preserve"> case (1967).</w:t>
      </w:r>
    </w:p>
    <w:p w:rsidR="002363C4" w:rsidRDefault="002363C4" w:rsidP="002363C4">
      <w:pPr>
        <w:numPr>
          <w:ilvl w:val="0"/>
          <w:numId w:val="32"/>
        </w:numPr>
        <w:rPr>
          <w:sz w:val="20"/>
        </w:rPr>
      </w:pPr>
      <w:r>
        <w:rPr>
          <w:i/>
          <w:sz w:val="20"/>
        </w:rPr>
        <w:t>Brown Shoe</w:t>
      </w:r>
      <w:r>
        <w:rPr>
          <w:sz w:val="20"/>
        </w:rPr>
        <w:t xml:space="preserve"> (1962) and </w:t>
      </w:r>
      <w:r>
        <w:rPr>
          <w:i/>
          <w:sz w:val="20"/>
        </w:rPr>
        <w:t>Von's Grocery</w:t>
      </w:r>
      <w:r>
        <w:rPr>
          <w:sz w:val="20"/>
        </w:rPr>
        <w:t xml:space="preserve"> (1966) cases.</w:t>
      </w:r>
    </w:p>
    <w:p w:rsidR="002363C4" w:rsidRDefault="002363C4" w:rsidP="002363C4">
      <w:pPr>
        <w:rPr>
          <w:sz w:val="20"/>
        </w:rPr>
      </w:pPr>
    </w:p>
    <w:p w:rsidR="00AD3332" w:rsidRDefault="00AD3332" w:rsidP="002363C4">
      <w:pPr>
        <w:rPr>
          <w:sz w:val="20"/>
        </w:rPr>
      </w:pPr>
      <w:r>
        <w:rPr>
          <w:sz w:val="20"/>
        </w:rPr>
        <w:t>(</w:t>
      </w:r>
      <w:r w:rsidR="002363C4">
        <w:rPr>
          <w:sz w:val="20"/>
        </w:rPr>
        <w:t>2</w:t>
      </w:r>
      <w:r>
        <w:rPr>
          <w:sz w:val="20"/>
        </w:rPr>
        <w:t>) The U.S. Supreme Court showed a concern for potential competition in the</w:t>
      </w:r>
    </w:p>
    <w:p w:rsidR="00D51F82" w:rsidRDefault="00D51F82" w:rsidP="00D51F82">
      <w:pPr>
        <w:numPr>
          <w:ilvl w:val="0"/>
          <w:numId w:val="24"/>
        </w:numPr>
        <w:rPr>
          <w:sz w:val="20"/>
        </w:rPr>
      </w:pPr>
      <w:r w:rsidRPr="005E1BBF">
        <w:rPr>
          <w:i/>
          <w:sz w:val="20"/>
        </w:rPr>
        <w:t>ALCOA</w:t>
      </w:r>
      <w:r>
        <w:rPr>
          <w:sz w:val="20"/>
        </w:rPr>
        <w:t xml:space="preserve"> (1964) and </w:t>
      </w:r>
      <w:r w:rsidRPr="005E1BBF">
        <w:rPr>
          <w:i/>
          <w:sz w:val="20"/>
        </w:rPr>
        <w:t>Continental Can</w:t>
      </w:r>
      <w:r>
        <w:rPr>
          <w:sz w:val="20"/>
        </w:rPr>
        <w:t xml:space="preserve"> (1964) cases.</w:t>
      </w:r>
    </w:p>
    <w:p w:rsidR="00AD3332" w:rsidRPr="005E1BBF" w:rsidRDefault="00AD3332" w:rsidP="00AD3332">
      <w:pPr>
        <w:numPr>
          <w:ilvl w:val="0"/>
          <w:numId w:val="24"/>
        </w:numPr>
        <w:rPr>
          <w:sz w:val="20"/>
        </w:rPr>
      </w:pPr>
      <w:r w:rsidRPr="006E1BBB">
        <w:rPr>
          <w:i/>
          <w:sz w:val="20"/>
        </w:rPr>
        <w:t>Bethlehem Steel</w:t>
      </w:r>
      <w:r>
        <w:rPr>
          <w:sz w:val="20"/>
        </w:rPr>
        <w:t xml:space="preserve"> (1958) and </w:t>
      </w:r>
      <w:r w:rsidRPr="005E1BBF">
        <w:rPr>
          <w:i/>
          <w:sz w:val="20"/>
        </w:rPr>
        <w:t>Procter and Gamble-Clorox</w:t>
      </w:r>
      <w:r>
        <w:rPr>
          <w:sz w:val="20"/>
        </w:rPr>
        <w:t xml:space="preserve"> case (1967).</w:t>
      </w:r>
    </w:p>
    <w:p w:rsidR="00D51F82" w:rsidRDefault="00D51F82" w:rsidP="00D51F82">
      <w:pPr>
        <w:numPr>
          <w:ilvl w:val="0"/>
          <w:numId w:val="24"/>
        </w:numPr>
        <w:rPr>
          <w:sz w:val="20"/>
        </w:rPr>
      </w:pPr>
      <w:r>
        <w:rPr>
          <w:i/>
          <w:sz w:val="20"/>
        </w:rPr>
        <w:t>Brown Shoe</w:t>
      </w:r>
      <w:r>
        <w:rPr>
          <w:sz w:val="20"/>
        </w:rPr>
        <w:t xml:space="preserve"> (1962) and </w:t>
      </w:r>
      <w:r>
        <w:rPr>
          <w:i/>
          <w:sz w:val="20"/>
        </w:rPr>
        <w:t>Von's Grocery</w:t>
      </w:r>
      <w:r>
        <w:rPr>
          <w:sz w:val="20"/>
        </w:rPr>
        <w:t xml:space="preserve"> (1966) cases.</w:t>
      </w:r>
    </w:p>
    <w:p w:rsidR="00AD3332" w:rsidRDefault="00AD3332" w:rsidP="00AD3332">
      <w:pPr>
        <w:rPr>
          <w:sz w:val="20"/>
        </w:rPr>
      </w:pPr>
    </w:p>
    <w:p w:rsidR="00AD3332" w:rsidRDefault="00AD3332" w:rsidP="00AD3332">
      <w:pPr>
        <w:rPr>
          <w:sz w:val="20"/>
        </w:rPr>
      </w:pPr>
      <w:r>
        <w:rPr>
          <w:sz w:val="20"/>
        </w:rPr>
        <w:t>(</w:t>
      </w:r>
      <w:r w:rsidR="002363C4">
        <w:rPr>
          <w:sz w:val="20"/>
        </w:rPr>
        <w:t>3</w:t>
      </w:r>
      <w:r>
        <w:rPr>
          <w:sz w:val="20"/>
        </w:rPr>
        <w:t xml:space="preserve">) The U.S. Supreme Court showed a willingness to stop mergers involving </w:t>
      </w:r>
      <w:r w:rsidR="00332271">
        <w:rPr>
          <w:sz w:val="20"/>
        </w:rPr>
        <w:t xml:space="preserve">even </w:t>
      </w:r>
      <w:r>
        <w:rPr>
          <w:sz w:val="20"/>
        </w:rPr>
        <w:t>small market shares in the</w:t>
      </w:r>
    </w:p>
    <w:p w:rsidR="000E6D26" w:rsidRDefault="000E6D26" w:rsidP="000E6D26">
      <w:pPr>
        <w:numPr>
          <w:ilvl w:val="0"/>
          <w:numId w:val="31"/>
        </w:numPr>
        <w:rPr>
          <w:sz w:val="20"/>
        </w:rPr>
      </w:pPr>
      <w:r w:rsidRPr="005E1BBF">
        <w:rPr>
          <w:i/>
          <w:sz w:val="20"/>
        </w:rPr>
        <w:t>ALCOA</w:t>
      </w:r>
      <w:r>
        <w:rPr>
          <w:sz w:val="20"/>
        </w:rPr>
        <w:t xml:space="preserve"> (1964) and </w:t>
      </w:r>
      <w:r w:rsidRPr="005E1BBF">
        <w:rPr>
          <w:i/>
          <w:sz w:val="20"/>
        </w:rPr>
        <w:t>Continental Can</w:t>
      </w:r>
      <w:r>
        <w:rPr>
          <w:sz w:val="20"/>
        </w:rPr>
        <w:t xml:space="preserve"> (1964) cases.</w:t>
      </w:r>
    </w:p>
    <w:p w:rsidR="000E6D26" w:rsidRPr="005E1BBF" w:rsidRDefault="000E6D26" w:rsidP="000E6D26">
      <w:pPr>
        <w:numPr>
          <w:ilvl w:val="0"/>
          <w:numId w:val="31"/>
        </w:numPr>
        <w:rPr>
          <w:sz w:val="20"/>
        </w:rPr>
      </w:pPr>
      <w:r w:rsidRPr="006E1BBB">
        <w:rPr>
          <w:i/>
          <w:sz w:val="20"/>
        </w:rPr>
        <w:t>Bethlehem Steel</w:t>
      </w:r>
      <w:r>
        <w:rPr>
          <w:sz w:val="20"/>
        </w:rPr>
        <w:t xml:space="preserve"> (1958) and </w:t>
      </w:r>
      <w:r w:rsidRPr="005E1BBF">
        <w:rPr>
          <w:i/>
          <w:sz w:val="20"/>
        </w:rPr>
        <w:t>Procter and Gamble-Clorox</w:t>
      </w:r>
      <w:r>
        <w:rPr>
          <w:sz w:val="20"/>
        </w:rPr>
        <w:t xml:space="preserve"> case (1967).</w:t>
      </w:r>
    </w:p>
    <w:p w:rsidR="000E6D26" w:rsidRDefault="000E6D26" w:rsidP="000E6D26">
      <w:pPr>
        <w:numPr>
          <w:ilvl w:val="0"/>
          <w:numId w:val="31"/>
        </w:numPr>
        <w:rPr>
          <w:sz w:val="20"/>
        </w:rPr>
      </w:pPr>
      <w:r>
        <w:rPr>
          <w:i/>
          <w:sz w:val="20"/>
        </w:rPr>
        <w:t>Brown Shoe</w:t>
      </w:r>
      <w:r>
        <w:rPr>
          <w:sz w:val="20"/>
        </w:rPr>
        <w:t xml:space="preserve"> (1962) and </w:t>
      </w:r>
      <w:r>
        <w:rPr>
          <w:i/>
          <w:sz w:val="20"/>
        </w:rPr>
        <w:t>Von's Grocery</w:t>
      </w:r>
      <w:r>
        <w:rPr>
          <w:sz w:val="20"/>
        </w:rPr>
        <w:t xml:space="preserve"> (1966) cases.</w:t>
      </w:r>
    </w:p>
    <w:p w:rsidR="00AD3332" w:rsidRDefault="00AD3332" w:rsidP="00AD3332">
      <w:pPr>
        <w:rPr>
          <w:sz w:val="20"/>
        </w:rPr>
      </w:pPr>
    </w:p>
    <w:p w:rsidR="00AD3332" w:rsidRDefault="00AD3332" w:rsidP="00AD3332">
      <w:pPr>
        <w:rPr>
          <w:sz w:val="20"/>
        </w:rPr>
      </w:pPr>
      <w:r>
        <w:rPr>
          <w:sz w:val="20"/>
        </w:rPr>
        <w:t xml:space="preserve">(4) According to the </w:t>
      </w:r>
      <w:r w:rsidRPr="00A37B46">
        <w:rPr>
          <w:sz w:val="20"/>
        </w:rPr>
        <w:t xml:space="preserve">DOJ-FTC </w:t>
      </w:r>
      <w:r w:rsidRPr="00A37B46">
        <w:rPr>
          <w:i/>
          <w:sz w:val="20"/>
        </w:rPr>
        <w:t>Horizontal Merger Guidelines</w:t>
      </w:r>
      <w:r>
        <w:rPr>
          <w:sz w:val="20"/>
        </w:rPr>
        <w:t xml:space="preserve">, the ability of a hypothetical monopolist to </w:t>
      </w:r>
      <w:r w:rsidRPr="00E65452">
        <w:rPr>
          <w:sz w:val="20"/>
        </w:rPr>
        <w:t>impose a "small bu</w:t>
      </w:r>
      <w:r>
        <w:rPr>
          <w:sz w:val="20"/>
        </w:rPr>
        <w:t xml:space="preserve">t significant and </w:t>
      </w:r>
      <w:proofErr w:type="spellStart"/>
      <w:r>
        <w:rPr>
          <w:sz w:val="20"/>
        </w:rPr>
        <w:t>nontransitory</w:t>
      </w:r>
      <w:proofErr w:type="spellEnd"/>
      <w:r w:rsidRPr="00E65452">
        <w:rPr>
          <w:sz w:val="20"/>
        </w:rPr>
        <w:t xml:space="preserve"> increase in price</w:t>
      </w:r>
      <w:r>
        <w:rPr>
          <w:sz w:val="20"/>
        </w:rPr>
        <w:t>” should be used to</w:t>
      </w:r>
    </w:p>
    <w:p w:rsidR="002363C4" w:rsidRDefault="002363C4" w:rsidP="002363C4">
      <w:pPr>
        <w:numPr>
          <w:ilvl w:val="0"/>
          <w:numId w:val="21"/>
        </w:numPr>
        <w:rPr>
          <w:sz w:val="20"/>
        </w:rPr>
      </w:pPr>
      <w:proofErr w:type="gramStart"/>
      <w:r>
        <w:rPr>
          <w:sz w:val="20"/>
        </w:rPr>
        <w:t>compute</w:t>
      </w:r>
      <w:proofErr w:type="gramEnd"/>
      <w:r>
        <w:rPr>
          <w:sz w:val="20"/>
        </w:rPr>
        <w:t xml:space="preserve"> a merged firm’s Lerner index.</w:t>
      </w:r>
    </w:p>
    <w:p w:rsidR="002363C4" w:rsidRDefault="002363C4" w:rsidP="002363C4">
      <w:pPr>
        <w:numPr>
          <w:ilvl w:val="0"/>
          <w:numId w:val="21"/>
        </w:numPr>
        <w:rPr>
          <w:sz w:val="20"/>
        </w:rPr>
      </w:pPr>
      <w:proofErr w:type="gramStart"/>
      <w:r>
        <w:rPr>
          <w:sz w:val="20"/>
        </w:rPr>
        <w:t>define</w:t>
      </w:r>
      <w:proofErr w:type="gramEnd"/>
      <w:r>
        <w:rPr>
          <w:sz w:val="20"/>
        </w:rPr>
        <w:t xml:space="preserve"> the extent of a market.</w:t>
      </w:r>
    </w:p>
    <w:p w:rsidR="002363C4" w:rsidRDefault="002363C4" w:rsidP="002363C4">
      <w:pPr>
        <w:numPr>
          <w:ilvl w:val="0"/>
          <w:numId w:val="21"/>
        </w:numPr>
        <w:rPr>
          <w:sz w:val="20"/>
        </w:rPr>
      </w:pPr>
      <w:proofErr w:type="gramStart"/>
      <w:r>
        <w:rPr>
          <w:sz w:val="20"/>
        </w:rPr>
        <w:t>decide</w:t>
      </w:r>
      <w:proofErr w:type="gramEnd"/>
      <w:r>
        <w:rPr>
          <w:sz w:val="20"/>
        </w:rPr>
        <w:t xml:space="preserve"> whether a merger should be opposed.</w:t>
      </w:r>
    </w:p>
    <w:p w:rsidR="00AD3332" w:rsidRDefault="00AD3332" w:rsidP="00AD3332">
      <w:pPr>
        <w:numPr>
          <w:ilvl w:val="0"/>
          <w:numId w:val="21"/>
        </w:numPr>
        <w:rPr>
          <w:sz w:val="20"/>
        </w:rPr>
      </w:pPr>
      <w:proofErr w:type="gramStart"/>
      <w:r>
        <w:rPr>
          <w:sz w:val="20"/>
        </w:rPr>
        <w:t>compare</w:t>
      </w:r>
      <w:proofErr w:type="gramEnd"/>
      <w:r>
        <w:rPr>
          <w:sz w:val="20"/>
        </w:rPr>
        <w:t xml:space="preserve"> with any cost savings.</w:t>
      </w:r>
    </w:p>
    <w:p w:rsidR="00AD3332" w:rsidRDefault="00AD3332" w:rsidP="00AD3332">
      <w:pPr>
        <w:numPr>
          <w:ilvl w:val="0"/>
          <w:numId w:val="21"/>
        </w:numPr>
        <w:rPr>
          <w:sz w:val="20"/>
        </w:rPr>
      </w:pPr>
      <w:proofErr w:type="gramStart"/>
      <w:r>
        <w:rPr>
          <w:sz w:val="20"/>
        </w:rPr>
        <w:t>regulate</w:t>
      </w:r>
      <w:proofErr w:type="gramEnd"/>
      <w:r>
        <w:rPr>
          <w:sz w:val="20"/>
        </w:rPr>
        <w:t xml:space="preserve"> price in a market.</w:t>
      </w:r>
    </w:p>
    <w:p w:rsidR="00AD3332" w:rsidRDefault="00AD3332" w:rsidP="00AD3332">
      <w:pPr>
        <w:numPr>
          <w:ilvl w:val="0"/>
          <w:numId w:val="21"/>
        </w:numPr>
        <w:rPr>
          <w:sz w:val="20"/>
        </w:rPr>
      </w:pPr>
      <w:proofErr w:type="gramStart"/>
      <w:r>
        <w:rPr>
          <w:sz w:val="20"/>
        </w:rPr>
        <w:t>distinguish</w:t>
      </w:r>
      <w:proofErr w:type="gramEnd"/>
      <w:r>
        <w:rPr>
          <w:sz w:val="20"/>
        </w:rPr>
        <w:t xml:space="preserve"> vertical, horizontal, and conglomerate mergers.</w:t>
      </w:r>
    </w:p>
    <w:p w:rsidR="00AD3332" w:rsidRDefault="00AD3332" w:rsidP="00AD3332">
      <w:pPr>
        <w:rPr>
          <w:sz w:val="20"/>
        </w:rPr>
      </w:pPr>
    </w:p>
    <w:p w:rsidR="00AD3332" w:rsidRDefault="00AD3332" w:rsidP="00AD3332">
      <w:pPr>
        <w:rPr>
          <w:sz w:val="20"/>
        </w:rPr>
      </w:pPr>
      <w:r>
        <w:rPr>
          <w:sz w:val="20"/>
        </w:rPr>
        <w:t xml:space="preserve">(5) </w:t>
      </w:r>
      <w:r w:rsidR="009A6DD9">
        <w:rPr>
          <w:sz w:val="20"/>
        </w:rPr>
        <w:t>Typically, if the definition of the market is broaden</w:t>
      </w:r>
      <w:r w:rsidR="002363C4">
        <w:rPr>
          <w:sz w:val="20"/>
        </w:rPr>
        <w:t>ed</w:t>
      </w:r>
      <w:r w:rsidR="009A6DD9">
        <w:rPr>
          <w:sz w:val="20"/>
        </w:rPr>
        <w:t xml:space="preserve"> to include more products believed to be close substitutes,</w:t>
      </w:r>
      <w:r w:rsidR="002363C4">
        <w:rPr>
          <w:sz w:val="20"/>
        </w:rPr>
        <w:t xml:space="preserve"> then</w:t>
      </w:r>
    </w:p>
    <w:p w:rsidR="00AD3332" w:rsidRDefault="00AD3332" w:rsidP="00AD3332">
      <w:pPr>
        <w:numPr>
          <w:ilvl w:val="0"/>
          <w:numId w:val="19"/>
        </w:numPr>
        <w:rPr>
          <w:sz w:val="20"/>
        </w:rPr>
      </w:pPr>
      <w:proofErr w:type="gramStart"/>
      <w:r>
        <w:rPr>
          <w:sz w:val="20"/>
        </w:rPr>
        <w:t>the</w:t>
      </w:r>
      <w:proofErr w:type="gramEnd"/>
      <w:r>
        <w:rPr>
          <w:sz w:val="20"/>
        </w:rPr>
        <w:t xml:space="preserve"> </w:t>
      </w:r>
      <w:r w:rsidR="009A6DD9">
        <w:rPr>
          <w:sz w:val="20"/>
        </w:rPr>
        <w:t>Hirschman-</w:t>
      </w:r>
      <w:proofErr w:type="spellStart"/>
      <w:r w:rsidR="009A6DD9">
        <w:rPr>
          <w:sz w:val="20"/>
        </w:rPr>
        <w:t>Herfindahl</w:t>
      </w:r>
      <w:proofErr w:type="spellEnd"/>
      <w:r w:rsidR="009A6DD9">
        <w:rPr>
          <w:sz w:val="20"/>
        </w:rPr>
        <w:t xml:space="preserve"> index (HHI) will </w:t>
      </w:r>
      <w:r w:rsidR="002363C4">
        <w:rPr>
          <w:sz w:val="20"/>
        </w:rPr>
        <w:t>increase</w:t>
      </w:r>
      <w:r>
        <w:rPr>
          <w:sz w:val="20"/>
        </w:rPr>
        <w:t>.</w:t>
      </w:r>
    </w:p>
    <w:p w:rsidR="00AD3332" w:rsidRDefault="009A6DD9" w:rsidP="00AD3332">
      <w:pPr>
        <w:numPr>
          <w:ilvl w:val="0"/>
          <w:numId w:val="19"/>
        </w:numPr>
        <w:rPr>
          <w:sz w:val="20"/>
        </w:rPr>
      </w:pPr>
      <w:proofErr w:type="gramStart"/>
      <w:r>
        <w:rPr>
          <w:sz w:val="20"/>
        </w:rPr>
        <w:t>the</w:t>
      </w:r>
      <w:proofErr w:type="gramEnd"/>
      <w:r>
        <w:rPr>
          <w:sz w:val="20"/>
        </w:rPr>
        <w:t xml:space="preserve"> HHI will </w:t>
      </w:r>
      <w:r w:rsidR="002363C4">
        <w:rPr>
          <w:sz w:val="20"/>
        </w:rPr>
        <w:t>decrease</w:t>
      </w:r>
      <w:r w:rsidR="00AD3332">
        <w:rPr>
          <w:sz w:val="20"/>
        </w:rPr>
        <w:t>.</w:t>
      </w:r>
    </w:p>
    <w:p w:rsidR="00AD3332" w:rsidRDefault="00AD3332" w:rsidP="00AD3332">
      <w:pPr>
        <w:numPr>
          <w:ilvl w:val="0"/>
          <w:numId w:val="19"/>
        </w:numPr>
        <w:rPr>
          <w:sz w:val="20"/>
        </w:rPr>
      </w:pPr>
      <w:r>
        <w:rPr>
          <w:sz w:val="20"/>
        </w:rPr>
        <w:t xml:space="preserve">The </w:t>
      </w:r>
      <w:r w:rsidR="009A6DD9">
        <w:rPr>
          <w:sz w:val="20"/>
        </w:rPr>
        <w:t>HHI</w:t>
      </w:r>
      <w:r>
        <w:rPr>
          <w:sz w:val="20"/>
        </w:rPr>
        <w:t xml:space="preserve"> is not </w:t>
      </w:r>
      <w:r w:rsidR="002363C4">
        <w:rPr>
          <w:sz w:val="20"/>
        </w:rPr>
        <w:t xml:space="preserve">usually </w:t>
      </w:r>
      <w:r>
        <w:rPr>
          <w:sz w:val="20"/>
        </w:rPr>
        <w:t>affected by market definition.</w:t>
      </w:r>
    </w:p>
    <w:p w:rsidR="00AD3332" w:rsidRDefault="00AD3332" w:rsidP="00AD3332">
      <w:pPr>
        <w:rPr>
          <w:sz w:val="20"/>
        </w:rPr>
      </w:pPr>
    </w:p>
    <w:p w:rsidR="00AD3332" w:rsidRDefault="00AD3332" w:rsidP="00AD3332">
      <w:pPr>
        <w:rPr>
          <w:sz w:val="20"/>
        </w:rPr>
      </w:pPr>
      <w:r>
        <w:rPr>
          <w:sz w:val="20"/>
        </w:rPr>
        <w:t>(6) In the 1997 proposed merger of Staples and Office Depot, the government argued that</w:t>
      </w:r>
    </w:p>
    <w:p w:rsidR="00A1000F" w:rsidRDefault="00A1000F" w:rsidP="00A1000F">
      <w:pPr>
        <w:numPr>
          <w:ilvl w:val="0"/>
          <w:numId w:val="18"/>
        </w:numPr>
        <w:rPr>
          <w:sz w:val="20"/>
        </w:rPr>
      </w:pPr>
      <w:proofErr w:type="gramStart"/>
      <w:r>
        <w:rPr>
          <w:sz w:val="20"/>
        </w:rPr>
        <w:t>only</w:t>
      </w:r>
      <w:proofErr w:type="gramEnd"/>
      <w:r>
        <w:rPr>
          <w:sz w:val="20"/>
        </w:rPr>
        <w:t xml:space="preserve"> cost savings should be considered.</w:t>
      </w:r>
    </w:p>
    <w:p w:rsidR="00A1000F" w:rsidRDefault="00A1000F" w:rsidP="00A1000F">
      <w:pPr>
        <w:numPr>
          <w:ilvl w:val="0"/>
          <w:numId w:val="18"/>
        </w:numPr>
        <w:rPr>
          <w:sz w:val="20"/>
        </w:rPr>
      </w:pPr>
      <w:proofErr w:type="gramStart"/>
      <w:r>
        <w:rPr>
          <w:sz w:val="20"/>
        </w:rPr>
        <w:t>the</w:t>
      </w:r>
      <w:proofErr w:type="gramEnd"/>
      <w:r>
        <w:rPr>
          <w:sz w:val="20"/>
        </w:rPr>
        <w:t xml:space="preserve"> merger was acceptable.</w:t>
      </w:r>
    </w:p>
    <w:p w:rsidR="00AD3332" w:rsidRDefault="00AD3332" w:rsidP="00AD3332">
      <w:pPr>
        <w:numPr>
          <w:ilvl w:val="0"/>
          <w:numId w:val="18"/>
        </w:numPr>
        <w:rPr>
          <w:sz w:val="20"/>
        </w:rPr>
      </w:pPr>
      <w:proofErr w:type="gramStart"/>
      <w:r>
        <w:rPr>
          <w:sz w:val="20"/>
        </w:rPr>
        <w:t>the</w:t>
      </w:r>
      <w:proofErr w:type="gramEnd"/>
      <w:r>
        <w:rPr>
          <w:sz w:val="20"/>
        </w:rPr>
        <w:t xml:space="preserve"> effect of the merger on cost savings and market price should be weighed using the compensation test.</w:t>
      </w:r>
    </w:p>
    <w:p w:rsidR="00AD3332" w:rsidRDefault="00AD3332" w:rsidP="00AD3332">
      <w:pPr>
        <w:numPr>
          <w:ilvl w:val="0"/>
          <w:numId w:val="18"/>
        </w:numPr>
        <w:rPr>
          <w:sz w:val="20"/>
        </w:rPr>
      </w:pPr>
      <w:proofErr w:type="gramStart"/>
      <w:r>
        <w:rPr>
          <w:sz w:val="20"/>
        </w:rPr>
        <w:t>only</w:t>
      </w:r>
      <w:proofErr w:type="gramEnd"/>
      <w:r>
        <w:rPr>
          <w:sz w:val="20"/>
        </w:rPr>
        <w:t xml:space="preserve"> the effect of the merger on market price should be considered.</w:t>
      </w:r>
    </w:p>
    <w:p w:rsidR="00AD3332" w:rsidRDefault="00AD3332" w:rsidP="00AD3332">
      <w:pPr>
        <w:rPr>
          <w:sz w:val="20"/>
        </w:rPr>
      </w:pPr>
    </w:p>
    <w:p w:rsidR="00AD3332" w:rsidRDefault="00AD3332" w:rsidP="00AD3332">
      <w:pPr>
        <w:rPr>
          <w:sz w:val="20"/>
        </w:rPr>
      </w:pPr>
      <w:r>
        <w:rPr>
          <w:sz w:val="20"/>
        </w:rPr>
        <w:t>(</w:t>
      </w:r>
      <w:r w:rsidR="002363C4">
        <w:rPr>
          <w:sz w:val="20"/>
        </w:rPr>
        <w:t>7</w:t>
      </w:r>
      <w:r>
        <w:rPr>
          <w:sz w:val="20"/>
        </w:rPr>
        <w:t>) According to</w:t>
      </w:r>
      <w:r w:rsidRPr="00A37B46">
        <w:rPr>
          <w:sz w:val="20"/>
        </w:rPr>
        <w:t xml:space="preserve"> the DOJ-FTC </w:t>
      </w:r>
      <w:r w:rsidRPr="00A37B46">
        <w:rPr>
          <w:i/>
          <w:sz w:val="20"/>
        </w:rPr>
        <w:t>Non-Horizontal Merger Guidelines</w:t>
      </w:r>
      <w:r>
        <w:rPr>
          <w:sz w:val="20"/>
        </w:rPr>
        <w:t>, a conglomerate merger for market extension or product extension may be challenged if the acquired firm’s market is highly concentrated and the merger</w:t>
      </w:r>
    </w:p>
    <w:p w:rsidR="00AD3332" w:rsidRDefault="00AD3332" w:rsidP="00AD3332">
      <w:pPr>
        <w:numPr>
          <w:ilvl w:val="0"/>
          <w:numId w:val="20"/>
        </w:numPr>
        <w:rPr>
          <w:sz w:val="20"/>
        </w:rPr>
      </w:pPr>
      <w:proofErr w:type="gramStart"/>
      <w:r>
        <w:rPr>
          <w:sz w:val="20"/>
        </w:rPr>
        <w:t>raises</w:t>
      </w:r>
      <w:proofErr w:type="gramEnd"/>
      <w:r>
        <w:rPr>
          <w:sz w:val="20"/>
        </w:rPr>
        <w:t xml:space="preserve"> the probability of collusion across firms.</w:t>
      </w:r>
    </w:p>
    <w:p w:rsidR="00AD3332" w:rsidRDefault="00AD3332" w:rsidP="00AD3332">
      <w:pPr>
        <w:numPr>
          <w:ilvl w:val="0"/>
          <w:numId w:val="20"/>
        </w:numPr>
        <w:rPr>
          <w:sz w:val="20"/>
        </w:rPr>
      </w:pPr>
      <w:proofErr w:type="gramStart"/>
      <w:r>
        <w:rPr>
          <w:sz w:val="20"/>
        </w:rPr>
        <w:t>raises</w:t>
      </w:r>
      <w:proofErr w:type="gramEnd"/>
      <w:r>
        <w:rPr>
          <w:sz w:val="20"/>
        </w:rPr>
        <w:t xml:space="preserve"> costs of the acquired firm.</w:t>
      </w:r>
    </w:p>
    <w:p w:rsidR="00AD3332" w:rsidRDefault="00AD3332" w:rsidP="00AD3332">
      <w:pPr>
        <w:numPr>
          <w:ilvl w:val="0"/>
          <w:numId w:val="20"/>
        </w:numPr>
        <w:rPr>
          <w:sz w:val="20"/>
        </w:rPr>
      </w:pPr>
      <w:proofErr w:type="gramStart"/>
      <w:r>
        <w:rPr>
          <w:sz w:val="20"/>
        </w:rPr>
        <w:t>increases</w:t>
      </w:r>
      <w:proofErr w:type="gramEnd"/>
      <w:r>
        <w:rPr>
          <w:sz w:val="20"/>
        </w:rPr>
        <w:t xml:space="preserve"> concentration further.</w:t>
      </w:r>
    </w:p>
    <w:p w:rsidR="00AD3332" w:rsidRDefault="00AD3332" w:rsidP="00AD3332">
      <w:pPr>
        <w:numPr>
          <w:ilvl w:val="0"/>
          <w:numId w:val="20"/>
        </w:numPr>
        <w:rPr>
          <w:sz w:val="20"/>
        </w:rPr>
      </w:pPr>
      <w:proofErr w:type="gramStart"/>
      <w:r>
        <w:rPr>
          <w:sz w:val="20"/>
        </w:rPr>
        <w:t>eliminates</w:t>
      </w:r>
      <w:proofErr w:type="gramEnd"/>
      <w:r>
        <w:rPr>
          <w:sz w:val="20"/>
        </w:rPr>
        <w:t xml:space="preserve"> </w:t>
      </w:r>
      <w:r w:rsidRPr="00A37B46">
        <w:rPr>
          <w:sz w:val="20"/>
        </w:rPr>
        <w:t>potential competition</w:t>
      </w:r>
      <w:r>
        <w:rPr>
          <w:sz w:val="20"/>
        </w:rPr>
        <w:t>.</w:t>
      </w:r>
    </w:p>
    <w:p w:rsidR="00AD3332" w:rsidRDefault="00AD3332" w:rsidP="00AD3332">
      <w:pPr>
        <w:numPr>
          <w:ilvl w:val="0"/>
          <w:numId w:val="20"/>
        </w:numPr>
        <w:rPr>
          <w:sz w:val="20"/>
        </w:rPr>
      </w:pPr>
      <w:proofErr w:type="gramStart"/>
      <w:r>
        <w:rPr>
          <w:sz w:val="20"/>
        </w:rPr>
        <w:t>any</w:t>
      </w:r>
      <w:proofErr w:type="gramEnd"/>
      <w:r>
        <w:rPr>
          <w:sz w:val="20"/>
        </w:rPr>
        <w:t xml:space="preserve"> of the above.</w:t>
      </w:r>
    </w:p>
    <w:p w:rsidR="00AD3332" w:rsidRDefault="00AD3332" w:rsidP="00AD3332">
      <w:pPr>
        <w:rPr>
          <w:sz w:val="20"/>
          <w:szCs w:val="20"/>
        </w:rPr>
      </w:pPr>
    </w:p>
    <w:p w:rsidR="00C761CC" w:rsidRDefault="00C761CC" w:rsidP="00FE6A43">
      <w:pPr>
        <w:rPr>
          <w:sz w:val="20"/>
          <w:szCs w:val="20"/>
        </w:rPr>
      </w:pPr>
    </w:p>
    <w:p w:rsidR="001F23EA" w:rsidRDefault="001F23EA" w:rsidP="00FE6A43">
      <w:pPr>
        <w:rPr>
          <w:sz w:val="20"/>
          <w:szCs w:val="20"/>
        </w:rPr>
      </w:pPr>
    </w:p>
    <w:p w:rsidR="001F23EA" w:rsidRDefault="001F23EA" w:rsidP="00FE6A43">
      <w:pPr>
        <w:rPr>
          <w:sz w:val="20"/>
          <w:szCs w:val="20"/>
        </w:rPr>
      </w:pPr>
    </w:p>
    <w:p w:rsidR="001F23EA" w:rsidRDefault="001F23EA" w:rsidP="00FE6A43">
      <w:pPr>
        <w:rPr>
          <w:sz w:val="20"/>
          <w:szCs w:val="20"/>
        </w:rPr>
      </w:pPr>
    </w:p>
    <w:p w:rsidR="001F23EA" w:rsidRDefault="001F23EA" w:rsidP="00FE6A43">
      <w:pPr>
        <w:rPr>
          <w:sz w:val="20"/>
          <w:szCs w:val="20"/>
        </w:rPr>
      </w:pPr>
    </w:p>
    <w:p w:rsidR="001F23EA" w:rsidRDefault="001F23EA" w:rsidP="00FE6A43">
      <w:pPr>
        <w:rPr>
          <w:sz w:val="20"/>
          <w:szCs w:val="20"/>
        </w:rPr>
      </w:pPr>
    </w:p>
    <w:p w:rsidR="00631AED" w:rsidRDefault="00631AED" w:rsidP="00FE6A43">
      <w:pPr>
        <w:rPr>
          <w:sz w:val="20"/>
          <w:szCs w:val="20"/>
        </w:rPr>
        <w:sectPr w:rsidR="00631AED" w:rsidSect="00DC447F">
          <w:type w:val="continuous"/>
          <w:pgSz w:w="12240" w:h="15840" w:code="1"/>
          <w:pgMar w:top="1440" w:right="1440" w:bottom="1440" w:left="1440" w:header="720" w:footer="720" w:gutter="0"/>
          <w:cols w:num="2" w:space="720" w:equalWidth="0">
            <w:col w:w="4320" w:space="720"/>
            <w:col w:w="4320"/>
          </w:cols>
          <w:docGrid w:linePitch="360"/>
        </w:sectPr>
      </w:pPr>
    </w:p>
    <w:p w:rsidR="00D16A18" w:rsidRDefault="00D16A18" w:rsidP="00631AED">
      <w:pPr>
        <w:rPr>
          <w:sz w:val="20"/>
        </w:rPr>
      </w:pPr>
    </w:p>
    <w:p w:rsidR="002363C4" w:rsidRDefault="002363C4">
      <w:pPr>
        <w:rPr>
          <w:sz w:val="20"/>
        </w:rPr>
      </w:pPr>
    </w:p>
    <w:p w:rsidR="00C2136D" w:rsidRDefault="00C2136D" w:rsidP="00C2136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Use margins and graphs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C2136D" w:rsidRDefault="00C2136D" w:rsidP="00C2136D">
      <w:pPr>
        <w:rPr>
          <w:sz w:val="20"/>
          <w:szCs w:val="20"/>
        </w:rPr>
      </w:pPr>
    </w:p>
    <w:p w:rsidR="00C2136D" w:rsidRDefault="00C2136D" w:rsidP="00C2136D">
      <w:pPr>
        <w:rPr>
          <w:sz w:val="20"/>
          <w:szCs w:val="20"/>
        </w:rPr>
      </w:pPr>
    </w:p>
    <w:p w:rsidR="00C2136D" w:rsidRDefault="00C2136D" w:rsidP="00631AED">
      <w:pPr>
        <w:rPr>
          <w:sz w:val="20"/>
        </w:rPr>
      </w:pPr>
    </w:p>
    <w:p w:rsidR="00A1000F" w:rsidRDefault="00A1000F" w:rsidP="00A1000F">
      <w:pPr>
        <w:rPr>
          <w:sz w:val="20"/>
          <w:szCs w:val="20"/>
        </w:rPr>
      </w:pPr>
      <w:r>
        <w:rPr>
          <w:sz w:val="20"/>
          <w:szCs w:val="20"/>
        </w:rPr>
        <w:t xml:space="preserve">(1) [Types of mergers: </w:t>
      </w:r>
      <w:r w:rsidR="00FC70D0">
        <w:rPr>
          <w:sz w:val="20"/>
          <w:szCs w:val="20"/>
        </w:rPr>
        <w:t>8</w:t>
      </w:r>
      <w:r>
        <w:rPr>
          <w:sz w:val="20"/>
          <w:szCs w:val="20"/>
        </w:rPr>
        <w:t xml:space="preserve"> pts</w:t>
      </w:r>
      <w:proofErr w:type="gramStart"/>
      <w:r>
        <w:rPr>
          <w:sz w:val="20"/>
          <w:szCs w:val="20"/>
        </w:rPr>
        <w:t>]  Consider</w:t>
      </w:r>
      <w:proofErr w:type="gramEnd"/>
      <w:r>
        <w:rPr>
          <w:sz w:val="20"/>
          <w:szCs w:val="20"/>
        </w:rPr>
        <w:t xml:space="preserve"> the following 5 types of mergers.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3600"/>
      </w:tblGrid>
      <w:tr w:rsidR="00A1000F" w:rsidTr="0099011C">
        <w:tc>
          <w:tcPr>
            <w:tcW w:w="3600" w:type="dxa"/>
          </w:tcPr>
          <w:p w:rsidR="00A1000F" w:rsidRPr="006B3F9A" w:rsidRDefault="00A1000F" w:rsidP="0099011C">
            <w:pPr>
              <w:pStyle w:val="ListParagraph"/>
              <w:numPr>
                <w:ilvl w:val="0"/>
                <w:numId w:val="28"/>
              </w:numPr>
              <w:ind w:left="1800"/>
              <w:rPr>
                <w:i/>
                <w:sz w:val="20"/>
              </w:rPr>
            </w:pPr>
            <w:proofErr w:type="gramStart"/>
            <w:r w:rsidRPr="006B3F9A">
              <w:rPr>
                <w:i/>
                <w:sz w:val="20"/>
              </w:rPr>
              <w:t>horizontal</w:t>
            </w:r>
            <w:proofErr w:type="gramEnd"/>
            <w:r w:rsidRPr="006B3F9A">
              <w:rPr>
                <w:i/>
                <w:sz w:val="20"/>
              </w:rPr>
              <w:t xml:space="preserve"> merger.</w:t>
            </w:r>
          </w:p>
          <w:p w:rsidR="00A1000F" w:rsidRDefault="00A1000F" w:rsidP="0099011C">
            <w:pPr>
              <w:pStyle w:val="ListParagraph"/>
              <w:numPr>
                <w:ilvl w:val="0"/>
                <w:numId w:val="28"/>
              </w:numPr>
              <w:ind w:left="1800"/>
              <w:rPr>
                <w:i/>
                <w:sz w:val="20"/>
              </w:rPr>
            </w:pPr>
            <w:proofErr w:type="gramStart"/>
            <w:r w:rsidRPr="006B3F9A">
              <w:rPr>
                <w:i/>
                <w:sz w:val="20"/>
              </w:rPr>
              <w:t>vertical</w:t>
            </w:r>
            <w:proofErr w:type="gramEnd"/>
            <w:r w:rsidRPr="006B3F9A">
              <w:rPr>
                <w:i/>
                <w:sz w:val="20"/>
              </w:rPr>
              <w:t xml:space="preserve"> merger. </w:t>
            </w:r>
          </w:p>
          <w:p w:rsidR="00A1000F" w:rsidRPr="00B3153A" w:rsidRDefault="00A1000F" w:rsidP="0099011C">
            <w:pPr>
              <w:pStyle w:val="ListParagraph"/>
              <w:numPr>
                <w:ilvl w:val="0"/>
                <w:numId w:val="28"/>
              </w:numPr>
              <w:ind w:left="1800"/>
              <w:rPr>
                <w:i/>
                <w:sz w:val="20"/>
              </w:rPr>
            </w:pPr>
            <w:proofErr w:type="gramStart"/>
            <w:r w:rsidRPr="006B3F9A">
              <w:rPr>
                <w:i/>
                <w:sz w:val="20"/>
              </w:rPr>
              <w:t>conglomerate</w:t>
            </w:r>
            <w:proofErr w:type="gramEnd"/>
            <w:r w:rsidRPr="006B3F9A">
              <w:rPr>
                <w:i/>
                <w:sz w:val="20"/>
              </w:rPr>
              <w:t xml:space="preserve"> merger for product extension.</w:t>
            </w:r>
          </w:p>
          <w:p w:rsidR="00A1000F" w:rsidRDefault="00A1000F" w:rsidP="0099011C">
            <w:pPr>
              <w:ind w:left="1800"/>
              <w:rPr>
                <w:sz w:val="20"/>
                <w:szCs w:val="20"/>
              </w:rPr>
            </w:pPr>
          </w:p>
        </w:tc>
        <w:tc>
          <w:tcPr>
            <w:tcW w:w="3600" w:type="dxa"/>
          </w:tcPr>
          <w:p w:rsidR="00A1000F" w:rsidRPr="006B3F9A" w:rsidRDefault="00A1000F" w:rsidP="0099011C">
            <w:pPr>
              <w:pStyle w:val="ListParagraph"/>
              <w:numPr>
                <w:ilvl w:val="0"/>
                <w:numId w:val="28"/>
              </w:numPr>
              <w:rPr>
                <w:i/>
                <w:sz w:val="20"/>
              </w:rPr>
            </w:pPr>
            <w:proofErr w:type="gramStart"/>
            <w:r w:rsidRPr="006B3F9A">
              <w:rPr>
                <w:i/>
                <w:sz w:val="20"/>
              </w:rPr>
              <w:t>conglomerate</w:t>
            </w:r>
            <w:proofErr w:type="gramEnd"/>
            <w:r w:rsidRPr="006B3F9A">
              <w:rPr>
                <w:i/>
                <w:sz w:val="20"/>
              </w:rPr>
              <w:t xml:space="preserve"> merger for market extension.</w:t>
            </w:r>
          </w:p>
          <w:p w:rsidR="00A1000F" w:rsidRPr="006B3F9A" w:rsidRDefault="00A1000F" w:rsidP="0099011C">
            <w:pPr>
              <w:pStyle w:val="ListParagraph"/>
              <w:numPr>
                <w:ilvl w:val="0"/>
                <w:numId w:val="28"/>
              </w:numPr>
              <w:rPr>
                <w:i/>
                <w:sz w:val="20"/>
              </w:rPr>
            </w:pPr>
            <w:proofErr w:type="gramStart"/>
            <w:r w:rsidRPr="006B3F9A">
              <w:rPr>
                <w:i/>
                <w:sz w:val="20"/>
              </w:rPr>
              <w:t>pure</w:t>
            </w:r>
            <w:proofErr w:type="gramEnd"/>
            <w:r w:rsidRPr="006B3F9A">
              <w:rPr>
                <w:i/>
                <w:sz w:val="20"/>
              </w:rPr>
              <w:t xml:space="preserve"> conglomerate merger.</w:t>
            </w:r>
          </w:p>
          <w:p w:rsidR="00A1000F" w:rsidRDefault="00A1000F" w:rsidP="0099011C">
            <w:pPr>
              <w:rPr>
                <w:sz w:val="20"/>
                <w:szCs w:val="20"/>
              </w:rPr>
            </w:pPr>
          </w:p>
        </w:tc>
      </w:tr>
    </w:tbl>
    <w:p w:rsidR="00A1000F" w:rsidRDefault="00A1000F" w:rsidP="00A1000F">
      <w:pPr>
        <w:rPr>
          <w:sz w:val="20"/>
          <w:szCs w:val="20"/>
        </w:rPr>
      </w:pPr>
      <w:r>
        <w:rPr>
          <w:sz w:val="20"/>
        </w:rPr>
        <w:t>For each merger description below, insert the correct type of merger</w:t>
      </w:r>
    </w:p>
    <w:p w:rsidR="00A1000F" w:rsidRPr="001B01C6" w:rsidRDefault="00A1000F" w:rsidP="00A1000F">
      <w:pPr>
        <w:rPr>
          <w:sz w:val="20"/>
          <w:szCs w:val="20"/>
        </w:rPr>
      </w:pPr>
      <w:r>
        <w:rPr>
          <w:sz w:val="20"/>
          <w:szCs w:val="20"/>
        </w:rPr>
        <w:t>.</w:t>
      </w:r>
    </w:p>
    <w:tbl>
      <w:tblPr>
        <w:tblW w:w="0" w:type="auto"/>
        <w:jc w:val="right"/>
        <w:tblLayout w:type="fixed"/>
        <w:tblLook w:val="0000"/>
      </w:tblPr>
      <w:tblGrid>
        <w:gridCol w:w="5040"/>
        <w:gridCol w:w="4320"/>
      </w:tblGrid>
      <w:tr w:rsidR="00A1000F" w:rsidRPr="008C26B7" w:rsidTr="0099011C">
        <w:trPr>
          <w:jc w:val="right"/>
        </w:trPr>
        <w:tc>
          <w:tcPr>
            <w:tcW w:w="5040" w:type="dxa"/>
          </w:tcPr>
          <w:p w:rsidR="00A1000F" w:rsidRDefault="00A1000F" w:rsidP="0099011C">
            <w:pPr>
              <w:ind w:left="234" w:hanging="234"/>
              <w:rPr>
                <w:sz w:val="20"/>
              </w:rPr>
            </w:pPr>
            <w:proofErr w:type="gramStart"/>
            <w:r>
              <w:rPr>
                <w:sz w:val="20"/>
              </w:rPr>
              <w:t>a.  A</w:t>
            </w:r>
            <w:proofErr w:type="gramEnd"/>
            <w:r>
              <w:rPr>
                <w:sz w:val="20"/>
              </w:rPr>
              <w:t xml:space="preserve"> restaurant chain operating in the Northeast merges with a restaurant chain operating in the Midwest.</w:t>
            </w:r>
          </w:p>
        </w:tc>
        <w:tc>
          <w:tcPr>
            <w:tcW w:w="4320" w:type="dxa"/>
            <w:tcBorders>
              <w:top w:val="single" w:sz="2" w:space="0" w:color="auto"/>
              <w:left w:val="single" w:sz="2" w:space="0" w:color="auto"/>
              <w:bottom w:val="single" w:sz="2" w:space="0" w:color="auto"/>
              <w:right w:val="single" w:sz="2" w:space="0" w:color="auto"/>
            </w:tcBorders>
          </w:tcPr>
          <w:p w:rsidR="00A1000F" w:rsidRPr="008C65A5" w:rsidRDefault="00A1000F" w:rsidP="0099011C">
            <w:pPr>
              <w:rPr>
                <w:sz w:val="28"/>
                <w:szCs w:val="28"/>
              </w:rPr>
            </w:pPr>
          </w:p>
        </w:tc>
      </w:tr>
      <w:tr w:rsidR="00A1000F" w:rsidRPr="008C26B7" w:rsidTr="0099011C">
        <w:trPr>
          <w:jc w:val="right"/>
        </w:trPr>
        <w:tc>
          <w:tcPr>
            <w:tcW w:w="5040" w:type="dxa"/>
          </w:tcPr>
          <w:p w:rsidR="00A1000F" w:rsidRDefault="00A1000F" w:rsidP="0099011C">
            <w:pPr>
              <w:ind w:left="234" w:hanging="234"/>
              <w:rPr>
                <w:sz w:val="20"/>
              </w:rPr>
            </w:pPr>
            <w:proofErr w:type="gramStart"/>
            <w:r>
              <w:rPr>
                <w:sz w:val="20"/>
              </w:rPr>
              <w:t>b.  An</w:t>
            </w:r>
            <w:proofErr w:type="gramEnd"/>
            <w:r>
              <w:rPr>
                <w:sz w:val="20"/>
              </w:rPr>
              <w:t xml:space="preserve"> automobile manufacturer merges with another automobile manufacturer.</w:t>
            </w:r>
          </w:p>
        </w:tc>
        <w:tc>
          <w:tcPr>
            <w:tcW w:w="4320" w:type="dxa"/>
            <w:tcBorders>
              <w:top w:val="single" w:sz="2" w:space="0" w:color="auto"/>
              <w:left w:val="single" w:sz="2" w:space="0" w:color="auto"/>
              <w:bottom w:val="single" w:sz="2" w:space="0" w:color="auto"/>
              <w:right w:val="single" w:sz="2" w:space="0" w:color="auto"/>
            </w:tcBorders>
          </w:tcPr>
          <w:p w:rsidR="00A1000F" w:rsidRPr="008C65A5" w:rsidRDefault="00A1000F" w:rsidP="0099011C">
            <w:pPr>
              <w:rPr>
                <w:sz w:val="28"/>
                <w:szCs w:val="28"/>
              </w:rPr>
            </w:pPr>
          </w:p>
        </w:tc>
      </w:tr>
      <w:tr w:rsidR="00A1000F" w:rsidRPr="008C26B7" w:rsidTr="0099011C">
        <w:trPr>
          <w:jc w:val="right"/>
        </w:trPr>
        <w:tc>
          <w:tcPr>
            <w:tcW w:w="5040" w:type="dxa"/>
          </w:tcPr>
          <w:p w:rsidR="00A1000F" w:rsidRDefault="00A1000F" w:rsidP="0099011C">
            <w:pPr>
              <w:ind w:left="234" w:hanging="234"/>
              <w:rPr>
                <w:sz w:val="20"/>
              </w:rPr>
            </w:pPr>
            <w:proofErr w:type="gramStart"/>
            <w:r>
              <w:rPr>
                <w:sz w:val="20"/>
              </w:rPr>
              <w:t>c.  A</w:t>
            </w:r>
            <w:proofErr w:type="gramEnd"/>
            <w:r>
              <w:rPr>
                <w:sz w:val="20"/>
              </w:rPr>
              <w:t xml:space="preserve"> baked-goods company merges with a car-rental company.</w:t>
            </w:r>
          </w:p>
        </w:tc>
        <w:tc>
          <w:tcPr>
            <w:tcW w:w="4320" w:type="dxa"/>
            <w:tcBorders>
              <w:top w:val="single" w:sz="2" w:space="0" w:color="auto"/>
              <w:left w:val="single" w:sz="2" w:space="0" w:color="auto"/>
              <w:bottom w:val="single" w:sz="2" w:space="0" w:color="auto"/>
              <w:right w:val="single" w:sz="2" w:space="0" w:color="auto"/>
            </w:tcBorders>
          </w:tcPr>
          <w:p w:rsidR="00A1000F" w:rsidRPr="008C65A5" w:rsidRDefault="00A1000F" w:rsidP="0099011C">
            <w:pPr>
              <w:rPr>
                <w:sz w:val="28"/>
                <w:szCs w:val="28"/>
              </w:rPr>
            </w:pPr>
          </w:p>
        </w:tc>
      </w:tr>
      <w:tr w:rsidR="00A1000F" w:rsidRPr="008C26B7" w:rsidTr="0099011C">
        <w:trPr>
          <w:jc w:val="right"/>
        </w:trPr>
        <w:tc>
          <w:tcPr>
            <w:tcW w:w="5040" w:type="dxa"/>
          </w:tcPr>
          <w:p w:rsidR="00A1000F" w:rsidRDefault="00A1000F" w:rsidP="0099011C">
            <w:pPr>
              <w:ind w:left="234" w:hanging="234"/>
              <w:rPr>
                <w:sz w:val="20"/>
              </w:rPr>
            </w:pPr>
            <w:proofErr w:type="gramStart"/>
            <w:r>
              <w:rPr>
                <w:sz w:val="20"/>
              </w:rPr>
              <w:t>d.  A</w:t>
            </w:r>
            <w:proofErr w:type="gramEnd"/>
            <w:r>
              <w:rPr>
                <w:sz w:val="20"/>
              </w:rPr>
              <w:t xml:space="preserve"> company that makes computers merges with a company that makes memory chips for computers.</w:t>
            </w:r>
          </w:p>
        </w:tc>
        <w:tc>
          <w:tcPr>
            <w:tcW w:w="4320" w:type="dxa"/>
            <w:tcBorders>
              <w:top w:val="single" w:sz="2" w:space="0" w:color="auto"/>
              <w:left w:val="single" w:sz="2" w:space="0" w:color="auto"/>
              <w:bottom w:val="single" w:sz="2" w:space="0" w:color="auto"/>
              <w:right w:val="single" w:sz="2" w:space="0" w:color="auto"/>
            </w:tcBorders>
          </w:tcPr>
          <w:p w:rsidR="00A1000F" w:rsidRPr="008C65A5" w:rsidRDefault="00A1000F" w:rsidP="0099011C">
            <w:pPr>
              <w:rPr>
                <w:sz w:val="28"/>
                <w:szCs w:val="28"/>
              </w:rPr>
            </w:pPr>
          </w:p>
        </w:tc>
      </w:tr>
    </w:tbl>
    <w:p w:rsidR="00A1000F" w:rsidRDefault="00A1000F" w:rsidP="00A1000F">
      <w:pPr>
        <w:rPr>
          <w:sz w:val="20"/>
        </w:rPr>
      </w:pPr>
    </w:p>
    <w:p w:rsidR="00A1000F" w:rsidRDefault="00A1000F" w:rsidP="00A1000F">
      <w:pPr>
        <w:rPr>
          <w:sz w:val="20"/>
          <w:szCs w:val="20"/>
        </w:rPr>
      </w:pPr>
    </w:p>
    <w:p w:rsidR="00A1000F" w:rsidRDefault="00A1000F" w:rsidP="00A1000F">
      <w:pPr>
        <w:rPr>
          <w:sz w:val="20"/>
          <w:szCs w:val="20"/>
        </w:rPr>
      </w:pPr>
    </w:p>
    <w:p w:rsidR="00C2136D" w:rsidRDefault="00C2136D" w:rsidP="00A1000F">
      <w:pPr>
        <w:rPr>
          <w:sz w:val="20"/>
          <w:szCs w:val="20"/>
        </w:rPr>
      </w:pPr>
      <w:r>
        <w:rPr>
          <w:sz w:val="20"/>
          <w:szCs w:val="20"/>
        </w:rPr>
        <w:t>(</w:t>
      </w:r>
      <w:r w:rsidR="00A1000F">
        <w:rPr>
          <w:sz w:val="20"/>
          <w:szCs w:val="20"/>
        </w:rPr>
        <w:t>2</w:t>
      </w:r>
      <w:r>
        <w:rPr>
          <w:sz w:val="20"/>
          <w:szCs w:val="20"/>
        </w:rPr>
        <w:t>) [Statutes: 15 pts</w:t>
      </w:r>
      <w:proofErr w:type="gramStart"/>
      <w:r>
        <w:rPr>
          <w:sz w:val="20"/>
          <w:szCs w:val="20"/>
        </w:rPr>
        <w:t>]  Consider</w:t>
      </w:r>
      <w:proofErr w:type="gramEnd"/>
      <w:r>
        <w:rPr>
          <w:sz w:val="20"/>
          <w:szCs w:val="20"/>
        </w:rPr>
        <w:t xml:space="preserve"> the following six statutes:</w:t>
      </w:r>
    </w:p>
    <w:tbl>
      <w:tblPr>
        <w:tblW w:w="0" w:type="auto"/>
        <w:tblLook w:val="01E0"/>
      </w:tblPr>
      <w:tblGrid>
        <w:gridCol w:w="4788"/>
        <w:gridCol w:w="4788"/>
      </w:tblGrid>
      <w:tr w:rsidR="00C2136D" w:rsidRPr="006B3F9A" w:rsidTr="001F6F72">
        <w:tc>
          <w:tcPr>
            <w:tcW w:w="4788" w:type="dxa"/>
          </w:tcPr>
          <w:p w:rsidR="00C2136D" w:rsidRPr="006B3F9A" w:rsidRDefault="00C2136D" w:rsidP="00C2136D">
            <w:pPr>
              <w:numPr>
                <w:ilvl w:val="0"/>
                <w:numId w:val="27"/>
              </w:numPr>
              <w:overflowPunct w:val="0"/>
              <w:autoSpaceDE w:val="0"/>
              <w:autoSpaceDN w:val="0"/>
              <w:adjustRightInd w:val="0"/>
              <w:textAlignment w:val="baseline"/>
              <w:rPr>
                <w:i/>
                <w:sz w:val="20"/>
              </w:rPr>
            </w:pPr>
            <w:proofErr w:type="spellStart"/>
            <w:r w:rsidRPr="006B3F9A">
              <w:rPr>
                <w:i/>
                <w:sz w:val="20"/>
              </w:rPr>
              <w:t>Celler</w:t>
            </w:r>
            <w:proofErr w:type="spellEnd"/>
            <w:r w:rsidRPr="006B3F9A">
              <w:rPr>
                <w:i/>
                <w:sz w:val="20"/>
              </w:rPr>
              <w:t>-Kefauver Act</w:t>
            </w:r>
          </w:p>
          <w:p w:rsidR="00C2136D" w:rsidRPr="006B3F9A" w:rsidRDefault="00C2136D" w:rsidP="00C2136D">
            <w:pPr>
              <w:numPr>
                <w:ilvl w:val="0"/>
                <w:numId w:val="27"/>
              </w:numPr>
              <w:overflowPunct w:val="0"/>
              <w:autoSpaceDE w:val="0"/>
              <w:autoSpaceDN w:val="0"/>
              <w:adjustRightInd w:val="0"/>
              <w:textAlignment w:val="baseline"/>
              <w:rPr>
                <w:i/>
                <w:sz w:val="20"/>
              </w:rPr>
            </w:pPr>
            <w:r w:rsidRPr="006B3F9A">
              <w:rPr>
                <w:i/>
                <w:sz w:val="20"/>
              </w:rPr>
              <w:t>Clayton Act, Section 7</w:t>
            </w:r>
          </w:p>
          <w:p w:rsidR="00C2136D" w:rsidRPr="006B3F9A" w:rsidRDefault="00C2136D" w:rsidP="00C2136D">
            <w:pPr>
              <w:numPr>
                <w:ilvl w:val="0"/>
                <w:numId w:val="27"/>
              </w:numPr>
              <w:overflowPunct w:val="0"/>
              <w:autoSpaceDE w:val="0"/>
              <w:autoSpaceDN w:val="0"/>
              <w:adjustRightInd w:val="0"/>
              <w:textAlignment w:val="baseline"/>
              <w:rPr>
                <w:i/>
                <w:sz w:val="20"/>
              </w:rPr>
            </w:pPr>
            <w:r w:rsidRPr="006B3F9A">
              <w:rPr>
                <w:i/>
                <w:sz w:val="20"/>
              </w:rPr>
              <w:t>Federal Trade Commission Act</w:t>
            </w:r>
          </w:p>
        </w:tc>
        <w:tc>
          <w:tcPr>
            <w:tcW w:w="4788" w:type="dxa"/>
          </w:tcPr>
          <w:p w:rsidR="00C2136D" w:rsidRPr="006B3F9A" w:rsidRDefault="00C2136D" w:rsidP="00C2136D">
            <w:pPr>
              <w:numPr>
                <w:ilvl w:val="0"/>
                <w:numId w:val="27"/>
              </w:numPr>
              <w:tabs>
                <w:tab w:val="clear" w:pos="1800"/>
              </w:tabs>
              <w:overflowPunct w:val="0"/>
              <w:autoSpaceDE w:val="0"/>
              <w:autoSpaceDN w:val="0"/>
              <w:adjustRightInd w:val="0"/>
              <w:ind w:left="612"/>
              <w:textAlignment w:val="baseline"/>
              <w:rPr>
                <w:i/>
                <w:sz w:val="20"/>
              </w:rPr>
            </w:pPr>
            <w:r w:rsidRPr="006B3F9A">
              <w:rPr>
                <w:i/>
                <w:sz w:val="20"/>
              </w:rPr>
              <w:t>Hart-Scott-</w:t>
            </w:r>
            <w:proofErr w:type="spellStart"/>
            <w:r w:rsidRPr="006B3F9A">
              <w:rPr>
                <w:i/>
                <w:sz w:val="20"/>
              </w:rPr>
              <w:t>Rodino</w:t>
            </w:r>
            <w:proofErr w:type="spellEnd"/>
            <w:r w:rsidRPr="006B3F9A">
              <w:rPr>
                <w:i/>
                <w:sz w:val="20"/>
              </w:rPr>
              <w:t xml:space="preserve"> Act</w:t>
            </w:r>
          </w:p>
          <w:p w:rsidR="00C2136D" w:rsidRPr="006B3F9A" w:rsidRDefault="00C2136D" w:rsidP="00C2136D">
            <w:pPr>
              <w:numPr>
                <w:ilvl w:val="0"/>
                <w:numId w:val="27"/>
              </w:numPr>
              <w:tabs>
                <w:tab w:val="clear" w:pos="1800"/>
              </w:tabs>
              <w:overflowPunct w:val="0"/>
              <w:autoSpaceDE w:val="0"/>
              <w:autoSpaceDN w:val="0"/>
              <w:adjustRightInd w:val="0"/>
              <w:ind w:left="612"/>
              <w:textAlignment w:val="baseline"/>
              <w:rPr>
                <w:i/>
                <w:sz w:val="20"/>
              </w:rPr>
            </w:pPr>
            <w:r w:rsidRPr="006B3F9A">
              <w:rPr>
                <w:i/>
                <w:sz w:val="20"/>
              </w:rPr>
              <w:t>Sherman Act, Section 1</w:t>
            </w:r>
          </w:p>
          <w:p w:rsidR="00C2136D" w:rsidRPr="006B3F9A" w:rsidRDefault="00C2136D" w:rsidP="00C2136D">
            <w:pPr>
              <w:numPr>
                <w:ilvl w:val="0"/>
                <w:numId w:val="27"/>
              </w:numPr>
              <w:tabs>
                <w:tab w:val="clear" w:pos="1800"/>
              </w:tabs>
              <w:overflowPunct w:val="0"/>
              <w:autoSpaceDE w:val="0"/>
              <w:autoSpaceDN w:val="0"/>
              <w:adjustRightInd w:val="0"/>
              <w:ind w:left="612"/>
              <w:textAlignment w:val="baseline"/>
              <w:rPr>
                <w:i/>
                <w:sz w:val="20"/>
              </w:rPr>
            </w:pPr>
            <w:r w:rsidRPr="006B3F9A">
              <w:rPr>
                <w:i/>
                <w:sz w:val="20"/>
              </w:rPr>
              <w:t>Sherman Act, Section 2.</w:t>
            </w:r>
          </w:p>
        </w:tc>
      </w:tr>
    </w:tbl>
    <w:p w:rsidR="00C2136D" w:rsidRPr="006B3F9A" w:rsidRDefault="00C2136D" w:rsidP="00C2136D">
      <w:pPr>
        <w:rPr>
          <w:i/>
          <w:sz w:val="20"/>
          <w:szCs w:val="20"/>
        </w:rPr>
      </w:pPr>
    </w:p>
    <w:p w:rsidR="00C2136D" w:rsidRDefault="00C2136D" w:rsidP="00C2136D">
      <w:pPr>
        <w:rPr>
          <w:sz w:val="20"/>
          <w:szCs w:val="20"/>
        </w:rPr>
      </w:pPr>
      <w:r>
        <w:rPr>
          <w:sz w:val="20"/>
          <w:szCs w:val="20"/>
        </w:rPr>
        <w:t>For each description or quote below, write the appropriate statute.</w:t>
      </w:r>
    </w:p>
    <w:p w:rsidR="006B3F9A" w:rsidRPr="001B01C6" w:rsidRDefault="006B3F9A" w:rsidP="00C2136D">
      <w:pPr>
        <w:rPr>
          <w:sz w:val="20"/>
          <w:szCs w:val="20"/>
        </w:rPr>
      </w:pPr>
    </w:p>
    <w:tbl>
      <w:tblPr>
        <w:tblW w:w="0" w:type="auto"/>
        <w:jc w:val="right"/>
        <w:tblLayout w:type="fixed"/>
        <w:tblLook w:val="0000"/>
      </w:tblPr>
      <w:tblGrid>
        <w:gridCol w:w="5040"/>
        <w:gridCol w:w="4320"/>
      </w:tblGrid>
      <w:tr w:rsidR="00C2136D" w:rsidRPr="008C26B7" w:rsidTr="001F6F72">
        <w:trPr>
          <w:jc w:val="right"/>
        </w:trPr>
        <w:tc>
          <w:tcPr>
            <w:tcW w:w="5040" w:type="dxa"/>
          </w:tcPr>
          <w:p w:rsidR="00C2136D" w:rsidRDefault="00C2136D" w:rsidP="00A15843">
            <w:pPr>
              <w:ind w:left="234" w:hanging="234"/>
              <w:rPr>
                <w:sz w:val="20"/>
              </w:rPr>
            </w:pPr>
            <w:r>
              <w:rPr>
                <w:sz w:val="20"/>
              </w:rPr>
              <w:t>a.  "Every person who shall monopolize, or attempt to monopolize, or combine or conspire with any other person or persons, to monopolize any part of the trade or commerce among the several States, or with foreign nations, shall be deemed guilty of a felony…"</w:t>
            </w: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040" w:type="dxa"/>
          </w:tcPr>
          <w:p w:rsidR="00C2136D" w:rsidRDefault="00C2136D" w:rsidP="00A15843">
            <w:pPr>
              <w:ind w:left="234" w:hanging="234"/>
              <w:rPr>
                <w:sz w:val="20"/>
              </w:rPr>
            </w:pPr>
            <w:proofErr w:type="gramStart"/>
            <w:r>
              <w:rPr>
                <w:sz w:val="20"/>
              </w:rPr>
              <w:t>b.  Prohibits</w:t>
            </w:r>
            <w:proofErr w:type="gramEnd"/>
            <w:r>
              <w:rPr>
                <w:sz w:val="20"/>
              </w:rPr>
              <w:t xml:space="preserve"> merger by acquiring the </w:t>
            </w:r>
            <w:r w:rsidRPr="008A187B">
              <w:rPr>
                <w:i/>
                <w:sz w:val="20"/>
              </w:rPr>
              <w:t>stock</w:t>
            </w:r>
            <w:r>
              <w:rPr>
                <w:sz w:val="20"/>
              </w:rPr>
              <w:t xml:space="preserve"> of a rival </w:t>
            </w:r>
            <w:r w:rsidR="00002BF7">
              <w:rPr>
                <w:sz w:val="20"/>
              </w:rPr>
              <w:t>corporation, where the effect i</w:t>
            </w:r>
            <w:r>
              <w:rPr>
                <w:sz w:val="20"/>
              </w:rPr>
              <w:t>s to lessen competition.</w:t>
            </w:r>
          </w:p>
          <w:p w:rsidR="00C2136D" w:rsidRDefault="00C2136D" w:rsidP="00A15843">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040" w:type="dxa"/>
          </w:tcPr>
          <w:p w:rsidR="00C2136D" w:rsidRDefault="00C2136D" w:rsidP="00A15843">
            <w:pPr>
              <w:ind w:left="234" w:hanging="234"/>
              <w:rPr>
                <w:sz w:val="20"/>
              </w:rPr>
            </w:pPr>
            <w:proofErr w:type="gramStart"/>
            <w:r>
              <w:rPr>
                <w:sz w:val="20"/>
              </w:rPr>
              <w:t>c.  Prohibits</w:t>
            </w:r>
            <w:proofErr w:type="gramEnd"/>
            <w:r>
              <w:rPr>
                <w:sz w:val="20"/>
              </w:rPr>
              <w:t xml:space="preserve"> merger by acquiring the </w:t>
            </w:r>
            <w:r w:rsidRPr="008A187B">
              <w:rPr>
                <w:i/>
                <w:sz w:val="20"/>
              </w:rPr>
              <w:t>assets</w:t>
            </w:r>
            <w:r>
              <w:rPr>
                <w:sz w:val="20"/>
              </w:rPr>
              <w:t xml:space="preserve"> of a rival </w:t>
            </w:r>
            <w:r w:rsidR="00002BF7">
              <w:rPr>
                <w:sz w:val="20"/>
              </w:rPr>
              <w:t>corporation, where the effect i</w:t>
            </w:r>
            <w:r>
              <w:rPr>
                <w:sz w:val="20"/>
              </w:rPr>
              <w:t>s to lessen competition.</w:t>
            </w:r>
          </w:p>
          <w:p w:rsidR="00C2136D" w:rsidRDefault="00C2136D" w:rsidP="00A15843">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040" w:type="dxa"/>
          </w:tcPr>
          <w:p w:rsidR="00C2136D" w:rsidRDefault="00C2136D" w:rsidP="00A15843">
            <w:pPr>
              <w:ind w:left="234" w:hanging="234"/>
              <w:rPr>
                <w:sz w:val="20"/>
              </w:rPr>
            </w:pPr>
            <w:proofErr w:type="gramStart"/>
            <w:r>
              <w:rPr>
                <w:sz w:val="20"/>
              </w:rPr>
              <w:t>d.  Requires</w:t>
            </w:r>
            <w:proofErr w:type="gramEnd"/>
            <w:r>
              <w:rPr>
                <w:sz w:val="20"/>
              </w:rPr>
              <w:t xml:space="preserve"> prior notification of mergers to the Federal Trade Commission and the Antitrust Division of the Department of Justice.</w:t>
            </w: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040" w:type="dxa"/>
          </w:tcPr>
          <w:p w:rsidR="00C2136D" w:rsidRDefault="00C2136D" w:rsidP="00A15843">
            <w:pPr>
              <w:ind w:left="234" w:hanging="234"/>
              <w:rPr>
                <w:sz w:val="20"/>
              </w:rPr>
            </w:pPr>
            <w:proofErr w:type="gramStart"/>
            <w:r>
              <w:rPr>
                <w:sz w:val="20"/>
              </w:rPr>
              <w:t>e.  "</w:t>
            </w:r>
            <w:proofErr w:type="gramEnd"/>
            <w:r>
              <w:rPr>
                <w:sz w:val="20"/>
              </w:rPr>
              <w:t>Every contract, combination in the form of trust or otherwise, or conspiracy, in restraint of trade or commerce among the several States, or with foreign nations, is declared to be illegal."</w:t>
            </w: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bl>
    <w:p w:rsidR="006B3F9A" w:rsidRDefault="006B3F9A" w:rsidP="006B3F9A">
      <w:pPr>
        <w:rPr>
          <w:sz w:val="20"/>
        </w:rPr>
      </w:pPr>
    </w:p>
    <w:p w:rsidR="002363C4" w:rsidRDefault="002363C4">
      <w:pPr>
        <w:rPr>
          <w:sz w:val="20"/>
        </w:rPr>
      </w:pPr>
      <w:r>
        <w:rPr>
          <w:sz w:val="20"/>
        </w:rPr>
        <w:br w:type="page"/>
      </w:r>
    </w:p>
    <w:p w:rsidR="00C2136D" w:rsidRDefault="00C2136D" w:rsidP="006B3F9A">
      <w:pPr>
        <w:rPr>
          <w:sz w:val="20"/>
        </w:rPr>
      </w:pPr>
      <w:r>
        <w:rPr>
          <w:sz w:val="20"/>
        </w:rPr>
        <w:lastRenderedPageBreak/>
        <w:t>(</w:t>
      </w:r>
      <w:r w:rsidR="00B3153A">
        <w:rPr>
          <w:sz w:val="20"/>
        </w:rPr>
        <w:t>3</w:t>
      </w:r>
      <w:r>
        <w:rPr>
          <w:sz w:val="20"/>
        </w:rPr>
        <w:t xml:space="preserve">) [HHI and merger guidelines: </w:t>
      </w:r>
      <w:r w:rsidR="002363C4">
        <w:rPr>
          <w:sz w:val="20"/>
        </w:rPr>
        <w:t>18</w:t>
      </w:r>
      <w:r>
        <w:rPr>
          <w:sz w:val="20"/>
        </w:rPr>
        <w:t xml:space="preserve"> pts</w:t>
      </w:r>
      <w:proofErr w:type="gramStart"/>
      <w:r>
        <w:rPr>
          <w:sz w:val="20"/>
        </w:rPr>
        <w:t>]  Suppose</w:t>
      </w:r>
      <w:proofErr w:type="gramEnd"/>
      <w:r>
        <w:rPr>
          <w:sz w:val="20"/>
        </w:rPr>
        <w:t xml:space="preserve"> the market shares in an industry are as follows.</w:t>
      </w:r>
    </w:p>
    <w:p w:rsidR="00C2136D" w:rsidRDefault="00C2136D" w:rsidP="00C2136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20"/>
        <w:gridCol w:w="720"/>
        <w:gridCol w:w="720"/>
        <w:gridCol w:w="720"/>
        <w:gridCol w:w="720"/>
        <w:gridCol w:w="720"/>
        <w:gridCol w:w="720"/>
      </w:tblGrid>
      <w:tr w:rsidR="0007380E" w:rsidRPr="00DC4955" w:rsidTr="001F6F72">
        <w:trPr>
          <w:jc w:val="center"/>
        </w:trPr>
        <w:tc>
          <w:tcPr>
            <w:tcW w:w="1440" w:type="dxa"/>
          </w:tcPr>
          <w:p w:rsidR="0007380E" w:rsidRPr="00DC4955" w:rsidRDefault="0007380E" w:rsidP="001F6F72">
            <w:pPr>
              <w:rPr>
                <w:sz w:val="20"/>
              </w:rPr>
            </w:pPr>
            <w:r w:rsidRPr="00DC4955">
              <w:rPr>
                <w:sz w:val="20"/>
              </w:rPr>
              <w:t>Firm</w:t>
            </w:r>
          </w:p>
        </w:tc>
        <w:tc>
          <w:tcPr>
            <w:tcW w:w="720" w:type="dxa"/>
          </w:tcPr>
          <w:p w:rsidR="0007380E" w:rsidRPr="00DC4955" w:rsidRDefault="0007380E" w:rsidP="001F6F72">
            <w:pPr>
              <w:jc w:val="center"/>
              <w:rPr>
                <w:sz w:val="20"/>
              </w:rPr>
            </w:pPr>
            <w:r w:rsidRPr="00DC4955">
              <w:rPr>
                <w:sz w:val="20"/>
              </w:rPr>
              <w:t>#1</w:t>
            </w:r>
          </w:p>
        </w:tc>
        <w:tc>
          <w:tcPr>
            <w:tcW w:w="720" w:type="dxa"/>
          </w:tcPr>
          <w:p w:rsidR="0007380E" w:rsidRPr="00DC4955" w:rsidRDefault="0007380E" w:rsidP="001F6F72">
            <w:pPr>
              <w:jc w:val="center"/>
              <w:rPr>
                <w:sz w:val="20"/>
              </w:rPr>
            </w:pPr>
            <w:r w:rsidRPr="00DC4955">
              <w:rPr>
                <w:sz w:val="20"/>
              </w:rPr>
              <w:t>#2</w:t>
            </w:r>
          </w:p>
        </w:tc>
        <w:tc>
          <w:tcPr>
            <w:tcW w:w="720" w:type="dxa"/>
          </w:tcPr>
          <w:p w:rsidR="0007380E" w:rsidRPr="00DC4955" w:rsidRDefault="0007380E" w:rsidP="001F6F72">
            <w:pPr>
              <w:jc w:val="center"/>
              <w:rPr>
                <w:sz w:val="20"/>
              </w:rPr>
            </w:pPr>
            <w:r w:rsidRPr="00DC4955">
              <w:rPr>
                <w:sz w:val="20"/>
              </w:rPr>
              <w:t>#3</w:t>
            </w:r>
          </w:p>
        </w:tc>
        <w:tc>
          <w:tcPr>
            <w:tcW w:w="720" w:type="dxa"/>
          </w:tcPr>
          <w:p w:rsidR="0007380E" w:rsidRPr="00DC4955" w:rsidRDefault="0007380E" w:rsidP="001F6F72">
            <w:pPr>
              <w:jc w:val="center"/>
              <w:rPr>
                <w:sz w:val="20"/>
              </w:rPr>
            </w:pPr>
            <w:r w:rsidRPr="00DC4955">
              <w:rPr>
                <w:sz w:val="20"/>
              </w:rPr>
              <w:t>#4</w:t>
            </w:r>
          </w:p>
        </w:tc>
        <w:tc>
          <w:tcPr>
            <w:tcW w:w="720" w:type="dxa"/>
          </w:tcPr>
          <w:p w:rsidR="0007380E" w:rsidRPr="00DC4955" w:rsidRDefault="0007380E" w:rsidP="001F6F72">
            <w:pPr>
              <w:jc w:val="center"/>
              <w:rPr>
                <w:sz w:val="20"/>
              </w:rPr>
            </w:pPr>
            <w:r w:rsidRPr="00DC4955">
              <w:rPr>
                <w:sz w:val="20"/>
              </w:rPr>
              <w:t>#5</w:t>
            </w:r>
          </w:p>
        </w:tc>
        <w:tc>
          <w:tcPr>
            <w:tcW w:w="720" w:type="dxa"/>
          </w:tcPr>
          <w:p w:rsidR="0007380E" w:rsidRPr="00DC4955" w:rsidRDefault="0007380E" w:rsidP="001F6F72">
            <w:pPr>
              <w:jc w:val="center"/>
              <w:rPr>
                <w:sz w:val="20"/>
              </w:rPr>
            </w:pPr>
            <w:r w:rsidRPr="00DC4955">
              <w:rPr>
                <w:sz w:val="20"/>
              </w:rPr>
              <w:t>#6</w:t>
            </w:r>
          </w:p>
        </w:tc>
        <w:tc>
          <w:tcPr>
            <w:tcW w:w="720" w:type="dxa"/>
          </w:tcPr>
          <w:p w:rsidR="0007380E" w:rsidRPr="00DC4955" w:rsidRDefault="0007380E" w:rsidP="001F6F72">
            <w:pPr>
              <w:jc w:val="center"/>
              <w:rPr>
                <w:sz w:val="20"/>
              </w:rPr>
            </w:pPr>
            <w:r w:rsidRPr="00DC4955">
              <w:rPr>
                <w:sz w:val="20"/>
              </w:rPr>
              <w:t>#7</w:t>
            </w:r>
          </w:p>
        </w:tc>
      </w:tr>
      <w:tr w:rsidR="0007380E" w:rsidRPr="00DC4955" w:rsidTr="001F6F72">
        <w:trPr>
          <w:jc w:val="center"/>
        </w:trPr>
        <w:tc>
          <w:tcPr>
            <w:tcW w:w="1440" w:type="dxa"/>
          </w:tcPr>
          <w:p w:rsidR="0007380E" w:rsidRPr="00DC4955" w:rsidRDefault="0007380E" w:rsidP="001F6F72">
            <w:pPr>
              <w:rPr>
                <w:sz w:val="20"/>
              </w:rPr>
            </w:pPr>
            <w:r w:rsidRPr="00DC4955">
              <w:rPr>
                <w:sz w:val="20"/>
              </w:rPr>
              <w:t>Market share</w:t>
            </w:r>
          </w:p>
        </w:tc>
        <w:tc>
          <w:tcPr>
            <w:tcW w:w="720" w:type="dxa"/>
          </w:tcPr>
          <w:p w:rsidR="0007380E" w:rsidRPr="00DC4955" w:rsidRDefault="0007380E" w:rsidP="001F6F72">
            <w:pPr>
              <w:jc w:val="center"/>
              <w:rPr>
                <w:sz w:val="20"/>
              </w:rPr>
            </w:pPr>
            <w:r>
              <w:rPr>
                <w:sz w:val="20"/>
              </w:rPr>
              <w:t>3</w:t>
            </w:r>
            <w:r w:rsidRPr="00DC4955">
              <w:rPr>
                <w:sz w:val="20"/>
              </w:rPr>
              <w:t>0%</w:t>
            </w:r>
          </w:p>
        </w:tc>
        <w:tc>
          <w:tcPr>
            <w:tcW w:w="720" w:type="dxa"/>
          </w:tcPr>
          <w:p w:rsidR="0007380E" w:rsidRPr="00DC4955" w:rsidRDefault="0007380E" w:rsidP="001F6F72">
            <w:pPr>
              <w:jc w:val="center"/>
              <w:rPr>
                <w:sz w:val="20"/>
              </w:rPr>
            </w:pPr>
            <w:r w:rsidRPr="00DC4955">
              <w:rPr>
                <w:sz w:val="20"/>
              </w:rPr>
              <w:t>20%</w:t>
            </w:r>
          </w:p>
        </w:tc>
        <w:tc>
          <w:tcPr>
            <w:tcW w:w="720" w:type="dxa"/>
          </w:tcPr>
          <w:p w:rsidR="0007380E" w:rsidRPr="00DC4955" w:rsidRDefault="0007380E" w:rsidP="001F6F72">
            <w:pPr>
              <w:jc w:val="center"/>
              <w:rPr>
                <w:sz w:val="20"/>
              </w:rPr>
            </w:pPr>
            <w:r>
              <w:rPr>
                <w:sz w:val="20"/>
              </w:rPr>
              <w:t>2</w:t>
            </w:r>
            <w:r w:rsidRPr="00DC4955">
              <w:rPr>
                <w:sz w:val="20"/>
              </w:rPr>
              <w:t>0%</w:t>
            </w:r>
          </w:p>
        </w:tc>
        <w:tc>
          <w:tcPr>
            <w:tcW w:w="720" w:type="dxa"/>
          </w:tcPr>
          <w:p w:rsidR="0007380E" w:rsidRPr="00DC4955" w:rsidRDefault="0007380E" w:rsidP="001F6F72">
            <w:pPr>
              <w:jc w:val="center"/>
              <w:rPr>
                <w:sz w:val="20"/>
              </w:rPr>
            </w:pPr>
            <w:r w:rsidRPr="00DC4955">
              <w:rPr>
                <w:sz w:val="20"/>
              </w:rPr>
              <w:t>10%</w:t>
            </w:r>
          </w:p>
        </w:tc>
        <w:tc>
          <w:tcPr>
            <w:tcW w:w="720" w:type="dxa"/>
          </w:tcPr>
          <w:p w:rsidR="0007380E" w:rsidRPr="00DC4955" w:rsidRDefault="0007380E" w:rsidP="001F6F72">
            <w:pPr>
              <w:jc w:val="center"/>
              <w:rPr>
                <w:sz w:val="20"/>
              </w:rPr>
            </w:pPr>
            <w:r w:rsidRPr="00DC4955">
              <w:rPr>
                <w:sz w:val="20"/>
              </w:rPr>
              <w:t>10%</w:t>
            </w:r>
          </w:p>
        </w:tc>
        <w:tc>
          <w:tcPr>
            <w:tcW w:w="720" w:type="dxa"/>
          </w:tcPr>
          <w:p w:rsidR="0007380E" w:rsidRPr="00DC4955" w:rsidRDefault="0007380E" w:rsidP="001F6F72">
            <w:pPr>
              <w:jc w:val="center"/>
              <w:rPr>
                <w:sz w:val="20"/>
              </w:rPr>
            </w:pPr>
            <w:r>
              <w:rPr>
                <w:sz w:val="20"/>
              </w:rPr>
              <w:t>8</w:t>
            </w:r>
            <w:r w:rsidRPr="00DC4955">
              <w:rPr>
                <w:sz w:val="20"/>
              </w:rPr>
              <w:t>%</w:t>
            </w:r>
          </w:p>
        </w:tc>
        <w:tc>
          <w:tcPr>
            <w:tcW w:w="720" w:type="dxa"/>
          </w:tcPr>
          <w:p w:rsidR="0007380E" w:rsidRPr="00DC4955" w:rsidRDefault="0007380E" w:rsidP="001F6F72">
            <w:pPr>
              <w:jc w:val="center"/>
              <w:rPr>
                <w:sz w:val="20"/>
              </w:rPr>
            </w:pPr>
            <w:r>
              <w:rPr>
                <w:sz w:val="20"/>
              </w:rPr>
              <w:t>2</w:t>
            </w:r>
            <w:r w:rsidRPr="00DC4955">
              <w:rPr>
                <w:sz w:val="20"/>
              </w:rPr>
              <w:t>%</w:t>
            </w:r>
          </w:p>
        </w:tc>
      </w:tr>
    </w:tbl>
    <w:p w:rsidR="00C2136D" w:rsidRDefault="00C2136D" w:rsidP="00C2136D">
      <w:pPr>
        <w:rPr>
          <w:sz w:val="20"/>
        </w:rPr>
      </w:pPr>
    </w:p>
    <w:p w:rsidR="00C2136D" w:rsidRDefault="00C2136D" w:rsidP="00C2136D">
      <w:pPr>
        <w:rPr>
          <w:sz w:val="20"/>
        </w:rPr>
      </w:pPr>
    </w:p>
    <w:tbl>
      <w:tblPr>
        <w:tblW w:w="0" w:type="auto"/>
        <w:jc w:val="right"/>
        <w:tblLayout w:type="fixed"/>
        <w:tblLook w:val="0000"/>
      </w:tblPr>
      <w:tblGrid>
        <w:gridCol w:w="5760"/>
        <w:gridCol w:w="3600"/>
      </w:tblGrid>
      <w:tr w:rsidR="00C2136D" w:rsidRPr="008C26B7" w:rsidTr="001F6F72">
        <w:trPr>
          <w:jc w:val="right"/>
        </w:trPr>
        <w:tc>
          <w:tcPr>
            <w:tcW w:w="5760" w:type="dxa"/>
          </w:tcPr>
          <w:p w:rsidR="00C2136D" w:rsidRDefault="00C2136D" w:rsidP="001F6F72">
            <w:pPr>
              <w:ind w:left="234" w:hanging="234"/>
              <w:rPr>
                <w:sz w:val="20"/>
              </w:rPr>
            </w:pPr>
            <w:r w:rsidRPr="008C26B7">
              <w:rPr>
                <w:sz w:val="20"/>
              </w:rPr>
              <w:t xml:space="preserve">a. </w:t>
            </w:r>
            <w:r>
              <w:rPr>
                <w:sz w:val="20"/>
              </w:rPr>
              <w:t>Compute the current value of the Hirschman-</w:t>
            </w:r>
            <w:proofErr w:type="spellStart"/>
            <w:r>
              <w:rPr>
                <w:sz w:val="20"/>
              </w:rPr>
              <w:t>Herfindahl</w:t>
            </w:r>
            <w:proofErr w:type="spellEnd"/>
            <w:r>
              <w:rPr>
                <w:sz w:val="20"/>
              </w:rPr>
              <w:t xml:space="preserve"> index.</w:t>
            </w:r>
          </w:p>
          <w:p w:rsidR="00C2136D" w:rsidRPr="008C26B7" w:rsidRDefault="00C2136D" w:rsidP="001F6F72">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Pr>
          <w:p w:rsidR="00C2136D" w:rsidRPr="008C26B7" w:rsidRDefault="00C2136D" w:rsidP="001F6F72">
            <w:pPr>
              <w:ind w:left="234" w:hanging="234"/>
              <w:rPr>
                <w:sz w:val="20"/>
              </w:rPr>
            </w:pPr>
            <w:r>
              <w:rPr>
                <w:sz w:val="20"/>
              </w:rPr>
              <w:t xml:space="preserve">b. Under the DOJ-FTC </w:t>
            </w:r>
            <w:r w:rsidRPr="0048019A">
              <w:rPr>
                <w:i/>
                <w:sz w:val="20"/>
              </w:rPr>
              <w:t>Horizontal Merger Guidelines</w:t>
            </w:r>
            <w:r>
              <w:rPr>
                <w:sz w:val="20"/>
              </w:rPr>
              <w:t>, would this industry be classified as “</w:t>
            </w:r>
            <w:proofErr w:type="spellStart"/>
            <w:r>
              <w:rPr>
                <w:sz w:val="20"/>
              </w:rPr>
              <w:t>unconcentrated</w:t>
            </w:r>
            <w:proofErr w:type="spellEnd"/>
            <w:r>
              <w:rPr>
                <w:sz w:val="20"/>
              </w:rPr>
              <w:t>,” “moderately concentrated,” or “highly concentrated”?</w:t>
            </w: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bl>
    <w:p w:rsidR="00C2136D" w:rsidRDefault="00C2136D" w:rsidP="00C2136D">
      <w:pPr>
        <w:rPr>
          <w:sz w:val="20"/>
        </w:rPr>
      </w:pPr>
    </w:p>
    <w:p w:rsidR="00C2136D" w:rsidRDefault="00C2136D" w:rsidP="00C2136D">
      <w:pPr>
        <w:rPr>
          <w:sz w:val="20"/>
        </w:rPr>
      </w:pPr>
      <w:r>
        <w:rPr>
          <w:sz w:val="20"/>
        </w:rPr>
        <w:t>Now suppose Firm #</w:t>
      </w:r>
      <w:r w:rsidR="0007380E">
        <w:rPr>
          <w:sz w:val="20"/>
        </w:rPr>
        <w:t>6</w:t>
      </w:r>
      <w:r>
        <w:rPr>
          <w:sz w:val="20"/>
        </w:rPr>
        <w:t xml:space="preserve"> were to merge with Firm #</w:t>
      </w:r>
      <w:r w:rsidR="0007380E">
        <w:rPr>
          <w:sz w:val="20"/>
        </w:rPr>
        <w:t>7</w:t>
      </w:r>
      <w:r>
        <w:rPr>
          <w:sz w:val="20"/>
        </w:rPr>
        <w:t>.</w:t>
      </w:r>
    </w:p>
    <w:tbl>
      <w:tblPr>
        <w:tblW w:w="0" w:type="auto"/>
        <w:jc w:val="right"/>
        <w:tblLayout w:type="fixed"/>
        <w:tblLook w:val="0000"/>
      </w:tblPr>
      <w:tblGrid>
        <w:gridCol w:w="5760"/>
        <w:gridCol w:w="3600"/>
      </w:tblGrid>
      <w:tr w:rsidR="00C2136D" w:rsidRPr="008C26B7" w:rsidTr="001F6F72">
        <w:trPr>
          <w:jc w:val="right"/>
        </w:trPr>
        <w:tc>
          <w:tcPr>
            <w:tcW w:w="5760" w:type="dxa"/>
          </w:tcPr>
          <w:p w:rsidR="00C2136D" w:rsidRPr="008C26B7" w:rsidRDefault="00C2136D" w:rsidP="001F6F72">
            <w:pPr>
              <w:ind w:left="234" w:hanging="234"/>
              <w:rPr>
                <w:sz w:val="20"/>
              </w:rPr>
            </w:pPr>
            <w:r>
              <w:rPr>
                <w:sz w:val="20"/>
              </w:rPr>
              <w:t>c</w:t>
            </w:r>
            <w:r w:rsidRPr="008C26B7">
              <w:rPr>
                <w:sz w:val="20"/>
              </w:rPr>
              <w:t xml:space="preserve">. </w:t>
            </w:r>
            <w:r>
              <w:rPr>
                <w:sz w:val="20"/>
              </w:rPr>
              <w:t xml:space="preserve">Compute the </w:t>
            </w:r>
            <w:proofErr w:type="spellStart"/>
            <w:r>
              <w:rPr>
                <w:sz w:val="20"/>
              </w:rPr>
              <w:t>postmerger</w:t>
            </w:r>
            <w:proofErr w:type="spellEnd"/>
            <w:r>
              <w:rPr>
                <w:sz w:val="20"/>
              </w:rPr>
              <w:t xml:space="preserve"> value of the Hirschman-</w:t>
            </w:r>
            <w:proofErr w:type="spellStart"/>
            <w:r>
              <w:rPr>
                <w:sz w:val="20"/>
              </w:rPr>
              <w:t>Herfindahl</w:t>
            </w:r>
            <w:proofErr w:type="spellEnd"/>
            <w:r>
              <w:rPr>
                <w:sz w:val="20"/>
              </w:rPr>
              <w:t xml:space="preserve"> index.</w:t>
            </w: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Pr>
          <w:p w:rsidR="00C2136D" w:rsidRDefault="00C2136D" w:rsidP="001F6F72">
            <w:pPr>
              <w:ind w:left="234" w:hanging="234"/>
              <w:rPr>
                <w:sz w:val="20"/>
              </w:rPr>
            </w:pPr>
            <w:r>
              <w:rPr>
                <w:sz w:val="20"/>
              </w:rPr>
              <w:t xml:space="preserve">d. Under the DOJ-FTC </w:t>
            </w:r>
            <w:r w:rsidRPr="0048019A">
              <w:rPr>
                <w:i/>
                <w:sz w:val="20"/>
              </w:rPr>
              <w:t>Horizontal Merger Guidelines</w:t>
            </w:r>
            <w:r>
              <w:rPr>
                <w:sz w:val="20"/>
              </w:rPr>
              <w:t>, would this industry now be classified as “</w:t>
            </w:r>
            <w:proofErr w:type="spellStart"/>
            <w:r>
              <w:rPr>
                <w:sz w:val="20"/>
              </w:rPr>
              <w:t>unconcentrated</w:t>
            </w:r>
            <w:proofErr w:type="spellEnd"/>
            <w:r>
              <w:rPr>
                <w:sz w:val="20"/>
              </w:rPr>
              <w:t>,” “moderately concentrated,” or “highly concentrated”?</w:t>
            </w: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Pr>
          <w:p w:rsidR="00C2136D" w:rsidRDefault="00C2136D" w:rsidP="001F6F72">
            <w:pPr>
              <w:ind w:left="234" w:hanging="234"/>
              <w:rPr>
                <w:sz w:val="20"/>
              </w:rPr>
            </w:pPr>
            <w:r>
              <w:rPr>
                <w:sz w:val="20"/>
              </w:rPr>
              <w:t xml:space="preserve">e. On the basis of these concentration calculations alone, would the government likely oppose this merger, according to the </w:t>
            </w:r>
            <w:r>
              <w:rPr>
                <w:i/>
                <w:sz w:val="20"/>
              </w:rPr>
              <w:t>Guidelines</w:t>
            </w:r>
            <w:r>
              <w:rPr>
                <w:sz w:val="20"/>
              </w:rPr>
              <w:t>?  (Answer yes or no.)</w:t>
            </w:r>
          </w:p>
        </w:tc>
        <w:tc>
          <w:tcPr>
            <w:tcW w:w="3600" w:type="dxa"/>
            <w:tcBorders>
              <w:top w:val="single" w:sz="2" w:space="0" w:color="auto"/>
              <w:left w:val="single" w:sz="2" w:space="0" w:color="auto"/>
              <w:bottom w:val="single" w:sz="4"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Borders>
              <w:bottom w:val="single" w:sz="4" w:space="0" w:color="auto"/>
            </w:tcBorders>
          </w:tcPr>
          <w:p w:rsidR="00C2136D" w:rsidRDefault="00C2136D" w:rsidP="001F6F72">
            <w:pPr>
              <w:ind w:left="234" w:hanging="234"/>
              <w:rPr>
                <w:sz w:val="20"/>
              </w:rPr>
            </w:pPr>
            <w:r>
              <w:rPr>
                <w:sz w:val="20"/>
              </w:rPr>
              <w:t>f. Why or why not?</w:t>
            </w:r>
          </w:p>
        </w:tc>
        <w:tc>
          <w:tcPr>
            <w:tcW w:w="3600" w:type="dxa"/>
            <w:tcBorders>
              <w:top w:val="single" w:sz="4" w:space="0" w:color="auto"/>
              <w:bottom w:val="single" w:sz="4" w:space="0" w:color="auto"/>
            </w:tcBorders>
          </w:tcPr>
          <w:p w:rsidR="00C2136D" w:rsidRPr="008C65A5" w:rsidRDefault="00C2136D" w:rsidP="001F6F72">
            <w:pPr>
              <w:rPr>
                <w:sz w:val="28"/>
                <w:szCs w:val="28"/>
              </w:rPr>
            </w:pPr>
          </w:p>
        </w:tc>
      </w:tr>
      <w:tr w:rsidR="00C2136D" w:rsidRPr="008C26B7" w:rsidTr="001F6F72">
        <w:trPr>
          <w:jc w:val="right"/>
        </w:trPr>
        <w:tc>
          <w:tcPr>
            <w:tcW w:w="5760" w:type="dxa"/>
            <w:tcBorders>
              <w:top w:val="single" w:sz="4" w:space="0" w:color="auto"/>
              <w:left w:val="single" w:sz="4" w:space="0" w:color="auto"/>
              <w:bottom w:val="single" w:sz="4" w:space="0" w:color="auto"/>
            </w:tcBorders>
          </w:tcPr>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2363C4" w:rsidRDefault="002363C4" w:rsidP="001F6F72">
            <w:pPr>
              <w:ind w:left="234" w:hanging="234"/>
              <w:rPr>
                <w:sz w:val="20"/>
              </w:rPr>
            </w:pPr>
          </w:p>
          <w:p w:rsidR="002363C4" w:rsidRDefault="002363C4" w:rsidP="001F6F72">
            <w:pPr>
              <w:ind w:left="234" w:hanging="234"/>
              <w:rPr>
                <w:sz w:val="20"/>
              </w:rPr>
            </w:pPr>
          </w:p>
          <w:p w:rsidR="002363C4" w:rsidRDefault="002363C4"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tc>
        <w:tc>
          <w:tcPr>
            <w:tcW w:w="3600" w:type="dxa"/>
            <w:tcBorders>
              <w:top w:val="single" w:sz="4" w:space="0" w:color="auto"/>
              <w:bottom w:val="single" w:sz="4" w:space="0" w:color="auto"/>
              <w:right w:val="single" w:sz="4" w:space="0" w:color="auto"/>
            </w:tcBorders>
          </w:tcPr>
          <w:p w:rsidR="00C2136D" w:rsidRPr="008C65A5" w:rsidRDefault="00C2136D" w:rsidP="001F6F72">
            <w:pPr>
              <w:rPr>
                <w:sz w:val="28"/>
                <w:szCs w:val="28"/>
              </w:rPr>
            </w:pPr>
          </w:p>
        </w:tc>
      </w:tr>
    </w:tbl>
    <w:p w:rsidR="00C2136D" w:rsidRDefault="00C2136D" w:rsidP="00C2136D">
      <w:pPr>
        <w:rPr>
          <w:sz w:val="20"/>
        </w:rPr>
      </w:pPr>
    </w:p>
    <w:p w:rsidR="002363C4" w:rsidRDefault="002363C4">
      <w:pPr>
        <w:rPr>
          <w:sz w:val="20"/>
        </w:rPr>
      </w:pPr>
      <w:r>
        <w:rPr>
          <w:sz w:val="20"/>
        </w:rPr>
        <w:br w:type="page"/>
      </w:r>
    </w:p>
    <w:p w:rsidR="00C2136D" w:rsidRDefault="00C2136D" w:rsidP="00C2136D">
      <w:pPr>
        <w:rPr>
          <w:sz w:val="20"/>
        </w:rPr>
      </w:pPr>
      <w:r>
        <w:rPr>
          <w:sz w:val="20"/>
        </w:rPr>
        <w:lastRenderedPageBreak/>
        <w:t>(</w:t>
      </w:r>
      <w:r w:rsidR="00B3153A">
        <w:rPr>
          <w:sz w:val="20"/>
        </w:rPr>
        <w:t>4</w:t>
      </w:r>
      <w:r>
        <w:rPr>
          <w:sz w:val="20"/>
        </w:rPr>
        <w:t>) [Welfare tradeoffs of mergers:  36 pts</w:t>
      </w:r>
      <w:proofErr w:type="gramStart"/>
      <w:r>
        <w:rPr>
          <w:sz w:val="20"/>
        </w:rPr>
        <w:t>]  Consider</w:t>
      </w:r>
      <w:proofErr w:type="gramEnd"/>
      <w:r>
        <w:rPr>
          <w:sz w:val="20"/>
        </w:rPr>
        <w:t xml:space="preserve"> the industry depicted in the graph below.</w:t>
      </w:r>
    </w:p>
    <w:p w:rsidR="00C2136D" w:rsidRPr="00E22B7B" w:rsidRDefault="007E08DD" w:rsidP="00C2136D">
      <w:pPr>
        <w:jc w:val="center"/>
        <w:rPr>
          <w:szCs w:val="20"/>
        </w:rPr>
      </w:pPr>
      <w:r w:rsidRPr="007E08DD">
        <w:rPr>
          <w:noProof/>
          <w:szCs w:val="20"/>
        </w:rPr>
        <w:drawing>
          <wp:inline distT="0" distB="0" distL="0" distR="0">
            <wp:extent cx="5553075" cy="31337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136D" w:rsidRDefault="00C2136D" w:rsidP="00C2136D">
      <w:pPr>
        <w:rPr>
          <w:sz w:val="20"/>
        </w:rPr>
      </w:pPr>
    </w:p>
    <w:p w:rsidR="00C2136D" w:rsidRPr="008C26B7" w:rsidRDefault="00C2136D" w:rsidP="00C2136D">
      <w:pPr>
        <w:rPr>
          <w:sz w:val="20"/>
        </w:rPr>
      </w:pPr>
      <w:r>
        <w:rPr>
          <w:sz w:val="20"/>
        </w:rPr>
        <w:t xml:space="preserve">Assume this industry is currently competitive and </w:t>
      </w:r>
      <w:r w:rsidR="004A3D4C">
        <w:rPr>
          <w:sz w:val="20"/>
        </w:rPr>
        <w:t xml:space="preserve">that </w:t>
      </w:r>
      <w:r>
        <w:rPr>
          <w:sz w:val="20"/>
        </w:rPr>
        <w:t>all firms have the same average cost (AC) and marginal cost (MC) shown above as the “premerger” value.</w:t>
      </w:r>
    </w:p>
    <w:tbl>
      <w:tblPr>
        <w:tblW w:w="0" w:type="auto"/>
        <w:jc w:val="right"/>
        <w:tblLayout w:type="fixed"/>
        <w:tblLook w:val="0000"/>
      </w:tblPr>
      <w:tblGrid>
        <w:gridCol w:w="6480"/>
        <w:gridCol w:w="2880"/>
      </w:tblGrid>
      <w:tr w:rsidR="00C2136D" w:rsidRPr="008C26B7" w:rsidTr="001F6F72">
        <w:trPr>
          <w:jc w:val="right"/>
        </w:trPr>
        <w:tc>
          <w:tcPr>
            <w:tcW w:w="6480" w:type="dxa"/>
          </w:tcPr>
          <w:p w:rsidR="00C2136D" w:rsidRDefault="00C2136D" w:rsidP="001F6F72">
            <w:pPr>
              <w:ind w:left="234" w:hanging="234"/>
              <w:rPr>
                <w:sz w:val="20"/>
              </w:rPr>
            </w:pPr>
            <w:bookmarkStart w:id="0" w:name="OLE_LINK1"/>
            <w:r w:rsidRPr="008C26B7">
              <w:rPr>
                <w:sz w:val="20"/>
              </w:rPr>
              <w:t xml:space="preserve">a. </w:t>
            </w:r>
            <w:r>
              <w:rPr>
                <w:sz w:val="20"/>
              </w:rPr>
              <w:t>What is the competitive equilibrium price?</w:t>
            </w:r>
          </w:p>
          <w:p w:rsidR="00C2136D" w:rsidRPr="008C26B7" w:rsidRDefault="00C2136D" w:rsidP="001F6F72">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sidRPr="008C65A5">
              <w:rPr>
                <w:sz w:val="28"/>
                <w:szCs w:val="28"/>
              </w:rPr>
              <w:t>$</w:t>
            </w:r>
          </w:p>
        </w:tc>
      </w:tr>
      <w:tr w:rsidR="00C2136D" w:rsidRPr="008C26B7" w:rsidTr="001F6F72">
        <w:trPr>
          <w:jc w:val="right"/>
        </w:trPr>
        <w:tc>
          <w:tcPr>
            <w:tcW w:w="6480" w:type="dxa"/>
          </w:tcPr>
          <w:p w:rsidR="00C2136D" w:rsidRDefault="00C2136D" w:rsidP="001F6F72">
            <w:pPr>
              <w:ind w:left="234" w:hanging="234"/>
              <w:rPr>
                <w:sz w:val="20"/>
              </w:rPr>
            </w:pPr>
            <w:r w:rsidRPr="008C26B7">
              <w:rPr>
                <w:sz w:val="20"/>
              </w:rPr>
              <w:t xml:space="preserve">b. </w:t>
            </w:r>
            <w:r>
              <w:rPr>
                <w:sz w:val="20"/>
              </w:rPr>
              <w:t>What is the competitive equilibrium quantity?</w:t>
            </w:r>
          </w:p>
          <w:p w:rsidR="00C2136D" w:rsidRPr="008C26B7" w:rsidRDefault="00C2136D" w:rsidP="001F6F72">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4A3D4C">
              <w:rPr>
                <w:sz w:val="28"/>
                <w:szCs w:val="28"/>
              </w:rPr>
              <w:t>thousand</w:t>
            </w:r>
          </w:p>
        </w:tc>
      </w:tr>
      <w:bookmarkEnd w:id="0"/>
    </w:tbl>
    <w:p w:rsidR="00C2136D" w:rsidRDefault="00C2136D" w:rsidP="00C2136D">
      <w:pPr>
        <w:ind w:left="360" w:hanging="180"/>
        <w:rPr>
          <w:sz w:val="20"/>
        </w:rPr>
      </w:pPr>
    </w:p>
    <w:p w:rsidR="00C2136D" w:rsidRDefault="00C2136D" w:rsidP="00C2136D">
      <w:pPr>
        <w:rPr>
          <w:sz w:val="20"/>
        </w:rPr>
      </w:pPr>
      <w:r>
        <w:rPr>
          <w:sz w:val="20"/>
        </w:rPr>
        <w:t>Suppose a proposed merger would have two effects.  First, it would change the industry to a monopoly.  Second, it would reduce AC and MC to the “</w:t>
      </w:r>
      <w:proofErr w:type="spellStart"/>
      <w:r>
        <w:rPr>
          <w:sz w:val="20"/>
        </w:rPr>
        <w:t>postmerger</w:t>
      </w:r>
      <w:proofErr w:type="spellEnd"/>
      <w:r>
        <w:rPr>
          <w:sz w:val="20"/>
        </w:rPr>
        <w:t>” value shown above due to economies of scale and rationalization of production.</w:t>
      </w:r>
    </w:p>
    <w:p w:rsidR="00C2136D" w:rsidRDefault="00C2136D" w:rsidP="00C2136D">
      <w:pPr>
        <w:rPr>
          <w:sz w:val="20"/>
        </w:rPr>
      </w:pPr>
      <w:r>
        <w:rPr>
          <w:sz w:val="20"/>
        </w:rPr>
        <w:t xml:space="preserve">    c. </w:t>
      </w:r>
      <w:r w:rsidRPr="002B6F53">
        <w:rPr>
          <w:i/>
          <w:sz w:val="20"/>
        </w:rPr>
        <w:t>Using a straightedge</w:t>
      </w:r>
      <w:r>
        <w:rPr>
          <w:sz w:val="20"/>
        </w:rPr>
        <w:t>, draw the marginal revenue curve of the monopoly and label it.</w:t>
      </w:r>
    </w:p>
    <w:p w:rsidR="00C2136D" w:rsidRDefault="00C2136D" w:rsidP="00C2136D">
      <w:pPr>
        <w:rPr>
          <w:sz w:val="20"/>
        </w:rPr>
      </w:pPr>
    </w:p>
    <w:tbl>
      <w:tblPr>
        <w:tblW w:w="0" w:type="auto"/>
        <w:jc w:val="right"/>
        <w:tblLayout w:type="fixed"/>
        <w:tblLook w:val="0000"/>
      </w:tblPr>
      <w:tblGrid>
        <w:gridCol w:w="6480"/>
        <w:gridCol w:w="2880"/>
      </w:tblGrid>
      <w:tr w:rsidR="00C2136D" w:rsidRPr="008C65A5" w:rsidTr="001F6F72">
        <w:trPr>
          <w:jc w:val="right"/>
        </w:trPr>
        <w:tc>
          <w:tcPr>
            <w:tcW w:w="6480" w:type="dxa"/>
          </w:tcPr>
          <w:p w:rsidR="00C2136D" w:rsidRDefault="00C2136D" w:rsidP="004A3D4C">
            <w:pPr>
              <w:ind w:left="144" w:hanging="144"/>
              <w:rPr>
                <w:sz w:val="20"/>
              </w:rPr>
            </w:pPr>
            <w:r>
              <w:rPr>
                <w:sz w:val="20"/>
              </w:rPr>
              <w:t>d. What price would the monopoly charge?</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Default="00C2136D" w:rsidP="001F6F72">
            <w:pPr>
              <w:rPr>
                <w:sz w:val="28"/>
                <w:szCs w:val="28"/>
              </w:rPr>
            </w:pPr>
            <w:r>
              <w:rPr>
                <w:sz w:val="28"/>
                <w:szCs w:val="28"/>
              </w:rPr>
              <w:t>$</w:t>
            </w:r>
          </w:p>
        </w:tc>
      </w:tr>
      <w:tr w:rsidR="00C2136D" w:rsidRPr="008C65A5" w:rsidTr="001F6F72">
        <w:trPr>
          <w:jc w:val="right"/>
        </w:trPr>
        <w:tc>
          <w:tcPr>
            <w:tcW w:w="6480" w:type="dxa"/>
          </w:tcPr>
          <w:p w:rsidR="00C2136D" w:rsidRDefault="00C2136D" w:rsidP="004A3D4C">
            <w:pPr>
              <w:ind w:left="144" w:hanging="144"/>
              <w:rPr>
                <w:sz w:val="20"/>
              </w:rPr>
            </w:pPr>
            <w:r>
              <w:rPr>
                <w:sz w:val="20"/>
              </w:rPr>
              <w:t>e. What quantity would the monopoly produce?</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4A3D4C">
              <w:rPr>
                <w:sz w:val="28"/>
                <w:szCs w:val="28"/>
              </w:rPr>
              <w:t>thousand</w:t>
            </w:r>
          </w:p>
        </w:tc>
      </w:tr>
      <w:tr w:rsidR="00C2136D" w:rsidRPr="008C65A5" w:rsidTr="001F6F72">
        <w:trPr>
          <w:jc w:val="right"/>
        </w:trPr>
        <w:tc>
          <w:tcPr>
            <w:tcW w:w="6480" w:type="dxa"/>
          </w:tcPr>
          <w:p w:rsidR="00C2136D" w:rsidRDefault="00C2136D" w:rsidP="004A3D4C">
            <w:pPr>
              <w:ind w:left="144" w:hanging="144"/>
              <w:rPr>
                <w:sz w:val="20"/>
              </w:rPr>
            </w:pPr>
            <w:r>
              <w:rPr>
                <w:sz w:val="20"/>
              </w:rPr>
              <w:t>f. Compute the monopoly's Lerner index (or price-cost margin).</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Default="00C2136D" w:rsidP="001F6F72">
            <w:pPr>
              <w:rPr>
                <w:sz w:val="28"/>
                <w:szCs w:val="28"/>
              </w:rPr>
            </w:pPr>
          </w:p>
        </w:tc>
      </w:tr>
      <w:tr w:rsidR="00C2136D" w:rsidRPr="008C65A5" w:rsidTr="001F6F72">
        <w:trPr>
          <w:jc w:val="right"/>
        </w:trPr>
        <w:tc>
          <w:tcPr>
            <w:tcW w:w="6480" w:type="dxa"/>
          </w:tcPr>
          <w:p w:rsidR="00C2136D" w:rsidRPr="008C26B7" w:rsidRDefault="00C2136D" w:rsidP="004A3D4C">
            <w:pPr>
              <w:ind w:left="144" w:hanging="144"/>
              <w:rPr>
                <w:sz w:val="20"/>
              </w:rPr>
            </w:pPr>
            <w:r>
              <w:rPr>
                <w:sz w:val="20"/>
              </w:rPr>
              <w:t>g</w:t>
            </w:r>
            <w:r w:rsidRPr="008C26B7">
              <w:rPr>
                <w:sz w:val="20"/>
              </w:rPr>
              <w:t xml:space="preserve">. </w:t>
            </w:r>
            <w:r>
              <w:rPr>
                <w:sz w:val="20"/>
              </w:rPr>
              <w:t xml:space="preserve">Compute the loss of consumer surplus as the price rises from the premerger competitive value to the </w:t>
            </w:r>
            <w:proofErr w:type="spellStart"/>
            <w:r>
              <w:rPr>
                <w:sz w:val="20"/>
              </w:rPr>
              <w:t>postmerger</w:t>
            </w:r>
            <w:proofErr w:type="spellEnd"/>
            <w:r>
              <w:rPr>
                <w:sz w:val="20"/>
              </w:rPr>
              <w:t xml:space="preserve"> monopoly value.</w:t>
            </w: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4A3D4C">
              <w:rPr>
                <w:sz w:val="28"/>
                <w:szCs w:val="28"/>
              </w:rPr>
              <w:t>thousand</w:t>
            </w:r>
          </w:p>
        </w:tc>
      </w:tr>
      <w:tr w:rsidR="00C2136D" w:rsidRPr="008C65A5" w:rsidTr="001F6F72">
        <w:trPr>
          <w:jc w:val="right"/>
        </w:trPr>
        <w:tc>
          <w:tcPr>
            <w:tcW w:w="6480" w:type="dxa"/>
          </w:tcPr>
          <w:p w:rsidR="00C2136D" w:rsidRDefault="00C2136D" w:rsidP="004A3D4C">
            <w:pPr>
              <w:ind w:left="144" w:hanging="144"/>
              <w:rPr>
                <w:sz w:val="20"/>
              </w:rPr>
            </w:pPr>
            <w:r>
              <w:rPr>
                <w:sz w:val="20"/>
              </w:rPr>
              <w:t>h</w:t>
            </w:r>
            <w:r w:rsidRPr="008C26B7">
              <w:rPr>
                <w:sz w:val="20"/>
              </w:rPr>
              <w:t xml:space="preserve">. </w:t>
            </w:r>
            <w:r>
              <w:rPr>
                <w:sz w:val="20"/>
              </w:rPr>
              <w:t>How much of this loss is a transfer to the monopoly producer?</w:t>
            </w:r>
          </w:p>
          <w:p w:rsidR="00C2136D" w:rsidRPr="008C26B7"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sidRPr="008C65A5">
              <w:rPr>
                <w:sz w:val="28"/>
                <w:szCs w:val="28"/>
              </w:rPr>
              <w:t>$</w:t>
            </w:r>
            <w:r>
              <w:rPr>
                <w:sz w:val="28"/>
                <w:szCs w:val="28"/>
              </w:rPr>
              <w:t xml:space="preserve">                    </w:t>
            </w:r>
            <w:r w:rsidR="004A3D4C">
              <w:rPr>
                <w:sz w:val="28"/>
                <w:szCs w:val="28"/>
              </w:rPr>
              <w:t>thousand</w:t>
            </w:r>
          </w:p>
        </w:tc>
      </w:tr>
      <w:tr w:rsidR="00C2136D" w:rsidRPr="008C65A5" w:rsidTr="001F6F72">
        <w:trPr>
          <w:jc w:val="right"/>
        </w:trPr>
        <w:tc>
          <w:tcPr>
            <w:tcW w:w="6480" w:type="dxa"/>
          </w:tcPr>
          <w:p w:rsidR="00C2136D" w:rsidRDefault="00C2136D" w:rsidP="004A3D4C">
            <w:pPr>
              <w:ind w:left="144" w:hanging="144"/>
              <w:rPr>
                <w:sz w:val="20"/>
              </w:rPr>
            </w:pPr>
            <w:proofErr w:type="spellStart"/>
            <w:r>
              <w:rPr>
                <w:sz w:val="20"/>
              </w:rPr>
              <w:t>i</w:t>
            </w:r>
            <w:proofErr w:type="spellEnd"/>
            <w:r>
              <w:rPr>
                <w:sz w:val="20"/>
              </w:rPr>
              <w:t>. Compute the deadweight loss as a result of monopoly pricing (without considering cost savings).</w:t>
            </w: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sidRPr="008C65A5">
              <w:rPr>
                <w:sz w:val="28"/>
                <w:szCs w:val="28"/>
              </w:rPr>
              <w:t>$</w:t>
            </w:r>
            <w:r>
              <w:rPr>
                <w:sz w:val="28"/>
                <w:szCs w:val="28"/>
              </w:rPr>
              <w:t xml:space="preserve">                    </w:t>
            </w:r>
            <w:r w:rsidR="004A3D4C">
              <w:rPr>
                <w:sz w:val="28"/>
                <w:szCs w:val="28"/>
              </w:rPr>
              <w:t>thousand</w:t>
            </w:r>
          </w:p>
        </w:tc>
      </w:tr>
      <w:tr w:rsidR="00C2136D" w:rsidRPr="008C65A5" w:rsidTr="001F6F72">
        <w:trPr>
          <w:jc w:val="right"/>
        </w:trPr>
        <w:tc>
          <w:tcPr>
            <w:tcW w:w="6480" w:type="dxa"/>
          </w:tcPr>
          <w:p w:rsidR="00C2136D" w:rsidRPr="008C26B7" w:rsidRDefault="00C2136D" w:rsidP="004A3D4C">
            <w:pPr>
              <w:ind w:left="144" w:hanging="144"/>
              <w:rPr>
                <w:sz w:val="20"/>
              </w:rPr>
            </w:pPr>
            <w:r>
              <w:rPr>
                <w:sz w:val="20"/>
              </w:rPr>
              <w:t xml:space="preserve">j. Compute the </w:t>
            </w:r>
            <w:r w:rsidRPr="00261E43">
              <w:rPr>
                <w:sz w:val="20"/>
              </w:rPr>
              <w:t>cost savings</w:t>
            </w:r>
            <w:r>
              <w:rPr>
                <w:sz w:val="20"/>
              </w:rPr>
              <w:t xml:space="preserve"> in producing the monopoly level of output as a result of the merger.</w:t>
            </w: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4A3D4C">
              <w:rPr>
                <w:sz w:val="28"/>
                <w:szCs w:val="28"/>
              </w:rPr>
              <w:t>thousand</w:t>
            </w:r>
          </w:p>
        </w:tc>
      </w:tr>
      <w:tr w:rsidR="00C2136D" w:rsidRPr="008C65A5" w:rsidTr="001F6F72">
        <w:trPr>
          <w:jc w:val="right"/>
        </w:trPr>
        <w:tc>
          <w:tcPr>
            <w:tcW w:w="6480" w:type="dxa"/>
          </w:tcPr>
          <w:p w:rsidR="00C2136D" w:rsidRDefault="00C2136D" w:rsidP="004A3D4C">
            <w:pPr>
              <w:ind w:left="144" w:hanging="144"/>
              <w:rPr>
                <w:sz w:val="20"/>
              </w:rPr>
            </w:pPr>
            <w:r>
              <w:rPr>
                <w:sz w:val="20"/>
              </w:rPr>
              <w:t xml:space="preserve">k. Does net social welfare </w:t>
            </w:r>
            <w:r w:rsidRPr="007456ED">
              <w:rPr>
                <w:i/>
                <w:sz w:val="20"/>
              </w:rPr>
              <w:t>increase or decrease</w:t>
            </w:r>
            <w:r>
              <w:rPr>
                <w:sz w:val="20"/>
              </w:rPr>
              <w:t xml:space="preserve"> as a result of the merger?</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65A5" w:rsidTr="001F6F72">
        <w:trPr>
          <w:jc w:val="right"/>
        </w:trPr>
        <w:tc>
          <w:tcPr>
            <w:tcW w:w="6480" w:type="dxa"/>
          </w:tcPr>
          <w:p w:rsidR="00C2136D" w:rsidRDefault="00C2136D" w:rsidP="004A3D4C">
            <w:pPr>
              <w:ind w:left="144" w:hanging="144"/>
              <w:rPr>
                <w:sz w:val="20"/>
              </w:rPr>
            </w:pPr>
            <w:proofErr w:type="gramStart"/>
            <w:r>
              <w:rPr>
                <w:sz w:val="20"/>
              </w:rPr>
              <w:t>l</w:t>
            </w:r>
            <w:proofErr w:type="gramEnd"/>
            <w:r>
              <w:rPr>
                <w:sz w:val="20"/>
              </w:rPr>
              <w:t>. By how much?</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4A3D4C">
              <w:rPr>
                <w:sz w:val="28"/>
                <w:szCs w:val="28"/>
              </w:rPr>
              <w:t>thousand</w:t>
            </w:r>
          </w:p>
        </w:tc>
      </w:tr>
    </w:tbl>
    <w:p w:rsidR="00C2136D" w:rsidRDefault="00C2136D" w:rsidP="00C2136D">
      <w:pPr>
        <w:rPr>
          <w:sz w:val="20"/>
        </w:rPr>
      </w:pPr>
    </w:p>
    <w:p w:rsidR="004A3D4C" w:rsidRDefault="004A3D4C">
      <w:pPr>
        <w:rPr>
          <w:b/>
          <w:sz w:val="20"/>
        </w:rPr>
      </w:pPr>
      <w:r>
        <w:rPr>
          <w:b/>
          <w:sz w:val="20"/>
        </w:rPr>
        <w:br w:type="page"/>
      </w:r>
    </w:p>
    <w:p w:rsidR="00C2136D" w:rsidRPr="00C94E37" w:rsidRDefault="00C2136D" w:rsidP="00C2136D">
      <w:pPr>
        <w:rPr>
          <w:sz w:val="20"/>
        </w:rPr>
      </w:pPr>
      <w:r w:rsidRPr="00C94E37">
        <w:rPr>
          <w:b/>
          <w:sz w:val="20"/>
        </w:rPr>
        <w:lastRenderedPageBreak/>
        <w:t>III</w:t>
      </w:r>
      <w:proofErr w:type="gramStart"/>
      <w:r w:rsidRPr="00C94E37">
        <w:rPr>
          <w:b/>
          <w:sz w:val="20"/>
        </w:rPr>
        <w:t>.  C</w:t>
      </w:r>
      <w:r w:rsidR="001722BF">
        <w:rPr>
          <w:b/>
          <w:sz w:val="20"/>
        </w:rPr>
        <w:t>hallenge</w:t>
      </w:r>
      <w:proofErr w:type="gramEnd"/>
      <w:r w:rsidR="001722BF">
        <w:rPr>
          <w:b/>
          <w:sz w:val="20"/>
        </w:rPr>
        <w:t xml:space="preserve"> question</w:t>
      </w:r>
      <w:r w:rsidRPr="007E46F9">
        <w:rPr>
          <w:sz w:val="20"/>
        </w:rPr>
        <w:t xml:space="preserve">  </w:t>
      </w:r>
      <w:r w:rsidRPr="00C94E37">
        <w:rPr>
          <w:sz w:val="20"/>
        </w:rPr>
        <w:t>[</w:t>
      </w:r>
      <w:r w:rsidR="00FC70D0">
        <w:rPr>
          <w:sz w:val="20"/>
        </w:rPr>
        <w:t>9</w:t>
      </w:r>
      <w:r w:rsidRPr="00C94E37">
        <w:rPr>
          <w:sz w:val="20"/>
        </w:rPr>
        <w:t xml:space="preserve"> pts]</w:t>
      </w:r>
    </w:p>
    <w:p w:rsidR="00C2136D" w:rsidRDefault="00C2136D" w:rsidP="00C2136D">
      <w:pPr>
        <w:rPr>
          <w:sz w:val="20"/>
        </w:rPr>
      </w:pPr>
    </w:p>
    <w:p w:rsidR="00C2136D" w:rsidRDefault="00F84039" w:rsidP="00C2136D">
      <w:pPr>
        <w:rPr>
          <w:sz w:val="20"/>
        </w:rPr>
      </w:pPr>
      <w:r>
        <w:rPr>
          <w:sz w:val="20"/>
        </w:rPr>
        <w:t xml:space="preserve">Company X produces </w:t>
      </w:r>
      <w:r w:rsidR="00DB71A2">
        <w:rPr>
          <w:sz w:val="20"/>
        </w:rPr>
        <w:t>appliances</w:t>
      </w:r>
      <w:r>
        <w:rPr>
          <w:sz w:val="20"/>
        </w:rPr>
        <w:t>.  It</w:t>
      </w:r>
      <w:r w:rsidR="001722BF">
        <w:rPr>
          <w:sz w:val="20"/>
        </w:rPr>
        <w:t xml:space="preserve">s total cost </w:t>
      </w:r>
      <w:r w:rsidR="00DB71A2">
        <w:rPr>
          <w:sz w:val="20"/>
        </w:rPr>
        <w:t>depend</w:t>
      </w:r>
      <w:r w:rsidR="00E84B38">
        <w:rPr>
          <w:sz w:val="20"/>
        </w:rPr>
        <w:t>s</w:t>
      </w:r>
      <w:r w:rsidR="00DB71A2">
        <w:rPr>
          <w:sz w:val="20"/>
        </w:rPr>
        <w:t xml:space="preserve"> on output levels according to</w:t>
      </w:r>
      <w:r w:rsidR="001722BF">
        <w:rPr>
          <w:sz w:val="20"/>
        </w:rPr>
        <w:t xml:space="preserve"> the following table</w:t>
      </w:r>
      <w:r w:rsidR="00B3153A">
        <w:rPr>
          <w:sz w:val="20"/>
        </w:rPr>
        <w:t>.</w:t>
      </w:r>
    </w:p>
    <w:p w:rsidR="00B3153A" w:rsidRDefault="00B3153A" w:rsidP="00C2136D">
      <w:pPr>
        <w:rPr>
          <w:sz w:val="20"/>
        </w:rPr>
      </w:pPr>
    </w:p>
    <w:tbl>
      <w:tblPr>
        <w:tblStyle w:val="TableGrid"/>
        <w:tblW w:w="0" w:type="auto"/>
        <w:jc w:val="center"/>
        <w:tblLook w:val="04A0"/>
      </w:tblPr>
      <w:tblGrid>
        <w:gridCol w:w="2394"/>
        <w:gridCol w:w="2160"/>
        <w:gridCol w:w="2160"/>
        <w:gridCol w:w="2160"/>
      </w:tblGrid>
      <w:tr w:rsidR="001722BF" w:rsidTr="00F84039">
        <w:trPr>
          <w:jc w:val="center"/>
        </w:trPr>
        <w:tc>
          <w:tcPr>
            <w:tcW w:w="2394" w:type="dxa"/>
          </w:tcPr>
          <w:p w:rsidR="001722BF" w:rsidRDefault="001722BF" w:rsidP="00C2136D">
            <w:pPr>
              <w:rPr>
                <w:sz w:val="20"/>
              </w:rPr>
            </w:pPr>
            <w:r>
              <w:rPr>
                <w:sz w:val="20"/>
              </w:rPr>
              <w:t>Total cost</w:t>
            </w:r>
          </w:p>
        </w:tc>
        <w:tc>
          <w:tcPr>
            <w:tcW w:w="2160" w:type="dxa"/>
          </w:tcPr>
          <w:p w:rsidR="001722BF" w:rsidRDefault="001722BF" w:rsidP="00F84039">
            <w:pPr>
              <w:jc w:val="center"/>
              <w:rPr>
                <w:sz w:val="20"/>
              </w:rPr>
            </w:pPr>
            <w:r>
              <w:rPr>
                <w:sz w:val="20"/>
              </w:rPr>
              <w:t>Zero refrigerators</w:t>
            </w:r>
          </w:p>
        </w:tc>
        <w:tc>
          <w:tcPr>
            <w:tcW w:w="2160" w:type="dxa"/>
          </w:tcPr>
          <w:p w:rsidR="001722BF" w:rsidRDefault="001722BF" w:rsidP="00F84039">
            <w:pPr>
              <w:jc w:val="center"/>
              <w:rPr>
                <w:sz w:val="20"/>
              </w:rPr>
            </w:pPr>
            <w:r>
              <w:rPr>
                <w:sz w:val="20"/>
              </w:rPr>
              <w:t>100 refrigerators</w:t>
            </w:r>
          </w:p>
        </w:tc>
        <w:tc>
          <w:tcPr>
            <w:tcW w:w="2160" w:type="dxa"/>
          </w:tcPr>
          <w:p w:rsidR="001722BF" w:rsidRDefault="001722BF" w:rsidP="00F84039">
            <w:pPr>
              <w:jc w:val="center"/>
              <w:rPr>
                <w:sz w:val="20"/>
              </w:rPr>
            </w:pPr>
            <w:r>
              <w:rPr>
                <w:sz w:val="20"/>
              </w:rPr>
              <w:t>200 refrigerators</w:t>
            </w:r>
          </w:p>
        </w:tc>
      </w:tr>
      <w:tr w:rsidR="001722BF" w:rsidTr="00F84039">
        <w:trPr>
          <w:jc w:val="center"/>
        </w:trPr>
        <w:tc>
          <w:tcPr>
            <w:tcW w:w="2394" w:type="dxa"/>
          </w:tcPr>
          <w:p w:rsidR="001722BF" w:rsidRDefault="001722BF" w:rsidP="00C2136D">
            <w:pPr>
              <w:rPr>
                <w:sz w:val="20"/>
              </w:rPr>
            </w:pPr>
            <w:r>
              <w:rPr>
                <w:sz w:val="20"/>
              </w:rPr>
              <w:t>Zero washing machines</w:t>
            </w:r>
          </w:p>
        </w:tc>
        <w:tc>
          <w:tcPr>
            <w:tcW w:w="2160" w:type="dxa"/>
          </w:tcPr>
          <w:p w:rsidR="001722BF" w:rsidRDefault="001722BF" w:rsidP="00F84039">
            <w:pPr>
              <w:jc w:val="center"/>
              <w:rPr>
                <w:sz w:val="20"/>
              </w:rPr>
            </w:pPr>
            <w:r>
              <w:rPr>
                <w:sz w:val="20"/>
              </w:rPr>
              <w:t>$0</w:t>
            </w:r>
          </w:p>
        </w:tc>
        <w:tc>
          <w:tcPr>
            <w:tcW w:w="2160" w:type="dxa"/>
          </w:tcPr>
          <w:p w:rsidR="001722BF" w:rsidRDefault="00F84039" w:rsidP="00F84039">
            <w:pPr>
              <w:jc w:val="center"/>
              <w:rPr>
                <w:sz w:val="20"/>
              </w:rPr>
            </w:pPr>
            <w:r>
              <w:rPr>
                <w:sz w:val="20"/>
              </w:rPr>
              <w:t>$50,000</w:t>
            </w:r>
          </w:p>
        </w:tc>
        <w:tc>
          <w:tcPr>
            <w:tcW w:w="2160" w:type="dxa"/>
          </w:tcPr>
          <w:p w:rsidR="001722BF" w:rsidRDefault="00F84039" w:rsidP="00F84039">
            <w:pPr>
              <w:jc w:val="center"/>
              <w:rPr>
                <w:sz w:val="20"/>
              </w:rPr>
            </w:pPr>
            <w:r>
              <w:rPr>
                <w:sz w:val="20"/>
              </w:rPr>
              <w:t>$120,000</w:t>
            </w:r>
          </w:p>
        </w:tc>
      </w:tr>
      <w:tr w:rsidR="001722BF" w:rsidTr="00F84039">
        <w:trPr>
          <w:jc w:val="center"/>
        </w:trPr>
        <w:tc>
          <w:tcPr>
            <w:tcW w:w="2394" w:type="dxa"/>
          </w:tcPr>
          <w:p w:rsidR="001722BF" w:rsidRDefault="001722BF" w:rsidP="00C2136D">
            <w:pPr>
              <w:rPr>
                <w:sz w:val="20"/>
              </w:rPr>
            </w:pPr>
            <w:r>
              <w:rPr>
                <w:sz w:val="20"/>
              </w:rPr>
              <w:t>50 washing machines</w:t>
            </w:r>
          </w:p>
        </w:tc>
        <w:tc>
          <w:tcPr>
            <w:tcW w:w="2160" w:type="dxa"/>
          </w:tcPr>
          <w:p w:rsidR="001722BF" w:rsidRDefault="001722BF" w:rsidP="00F84039">
            <w:pPr>
              <w:jc w:val="center"/>
              <w:rPr>
                <w:sz w:val="20"/>
              </w:rPr>
            </w:pPr>
            <w:r>
              <w:rPr>
                <w:sz w:val="20"/>
              </w:rPr>
              <w:t>$1</w:t>
            </w:r>
            <w:r w:rsidR="00F84039">
              <w:rPr>
                <w:sz w:val="20"/>
              </w:rPr>
              <w:t>2</w:t>
            </w:r>
            <w:r>
              <w:rPr>
                <w:sz w:val="20"/>
              </w:rPr>
              <w:t>,000</w:t>
            </w:r>
          </w:p>
        </w:tc>
        <w:tc>
          <w:tcPr>
            <w:tcW w:w="2160" w:type="dxa"/>
          </w:tcPr>
          <w:p w:rsidR="001722BF" w:rsidRDefault="00F84039" w:rsidP="00F84039">
            <w:pPr>
              <w:jc w:val="center"/>
              <w:rPr>
                <w:sz w:val="20"/>
              </w:rPr>
            </w:pPr>
            <w:r>
              <w:rPr>
                <w:sz w:val="20"/>
              </w:rPr>
              <w:t>$58,000</w:t>
            </w:r>
          </w:p>
        </w:tc>
        <w:tc>
          <w:tcPr>
            <w:tcW w:w="2160" w:type="dxa"/>
          </w:tcPr>
          <w:p w:rsidR="001722BF" w:rsidRDefault="00F84039" w:rsidP="00F84039">
            <w:pPr>
              <w:jc w:val="center"/>
              <w:rPr>
                <w:sz w:val="20"/>
              </w:rPr>
            </w:pPr>
            <w:r>
              <w:rPr>
                <w:sz w:val="20"/>
              </w:rPr>
              <w:t>$129,000</w:t>
            </w:r>
          </w:p>
        </w:tc>
      </w:tr>
      <w:tr w:rsidR="001722BF" w:rsidTr="00F84039">
        <w:trPr>
          <w:jc w:val="center"/>
        </w:trPr>
        <w:tc>
          <w:tcPr>
            <w:tcW w:w="2394" w:type="dxa"/>
          </w:tcPr>
          <w:p w:rsidR="001722BF" w:rsidRDefault="001722BF" w:rsidP="00C2136D">
            <w:pPr>
              <w:rPr>
                <w:sz w:val="20"/>
              </w:rPr>
            </w:pPr>
            <w:r>
              <w:rPr>
                <w:sz w:val="20"/>
              </w:rPr>
              <w:t>100 washing machines</w:t>
            </w:r>
          </w:p>
        </w:tc>
        <w:tc>
          <w:tcPr>
            <w:tcW w:w="2160" w:type="dxa"/>
          </w:tcPr>
          <w:p w:rsidR="001722BF" w:rsidRDefault="001722BF" w:rsidP="00F84039">
            <w:pPr>
              <w:jc w:val="center"/>
              <w:rPr>
                <w:sz w:val="20"/>
              </w:rPr>
            </w:pPr>
            <w:r>
              <w:rPr>
                <w:sz w:val="20"/>
              </w:rPr>
              <w:t>$</w:t>
            </w:r>
            <w:r w:rsidR="00F84039">
              <w:rPr>
                <w:sz w:val="20"/>
              </w:rPr>
              <w:t>20</w:t>
            </w:r>
            <w:r>
              <w:rPr>
                <w:sz w:val="20"/>
              </w:rPr>
              <w:t>,000</w:t>
            </w:r>
          </w:p>
        </w:tc>
        <w:tc>
          <w:tcPr>
            <w:tcW w:w="2160" w:type="dxa"/>
          </w:tcPr>
          <w:p w:rsidR="001722BF" w:rsidRDefault="00F84039" w:rsidP="00F84039">
            <w:pPr>
              <w:jc w:val="center"/>
              <w:rPr>
                <w:sz w:val="20"/>
              </w:rPr>
            </w:pPr>
            <w:r>
              <w:rPr>
                <w:sz w:val="20"/>
              </w:rPr>
              <w:t>$65,000</w:t>
            </w:r>
          </w:p>
        </w:tc>
        <w:tc>
          <w:tcPr>
            <w:tcW w:w="2160" w:type="dxa"/>
          </w:tcPr>
          <w:p w:rsidR="001722BF" w:rsidRDefault="00F84039" w:rsidP="00F84039">
            <w:pPr>
              <w:jc w:val="center"/>
              <w:rPr>
                <w:sz w:val="20"/>
              </w:rPr>
            </w:pPr>
            <w:r>
              <w:rPr>
                <w:sz w:val="20"/>
              </w:rPr>
              <w:t>$135,000</w:t>
            </w:r>
          </w:p>
        </w:tc>
      </w:tr>
    </w:tbl>
    <w:p w:rsidR="00B3153A" w:rsidRDefault="00B3153A" w:rsidP="00C2136D">
      <w:pPr>
        <w:rPr>
          <w:sz w:val="20"/>
        </w:rPr>
      </w:pPr>
    </w:p>
    <w:p w:rsidR="00B3153A" w:rsidRPr="001722BF" w:rsidRDefault="001722BF" w:rsidP="001722BF">
      <w:pPr>
        <w:pStyle w:val="ListParagraph"/>
        <w:numPr>
          <w:ilvl w:val="0"/>
          <w:numId w:val="30"/>
        </w:numPr>
        <w:rPr>
          <w:sz w:val="20"/>
        </w:rPr>
      </w:pPr>
      <w:r w:rsidRPr="001722BF">
        <w:rPr>
          <w:sz w:val="20"/>
        </w:rPr>
        <w:t>Does Company X appear to enjoy economies of scale in producing refrigerators?  Why or why not?</w:t>
      </w:r>
    </w:p>
    <w:p w:rsidR="001722BF" w:rsidRPr="001722BF" w:rsidRDefault="001722BF" w:rsidP="001722BF">
      <w:pPr>
        <w:pStyle w:val="ListParagraph"/>
        <w:numPr>
          <w:ilvl w:val="0"/>
          <w:numId w:val="30"/>
        </w:numPr>
        <w:rPr>
          <w:sz w:val="20"/>
        </w:rPr>
      </w:pPr>
      <w:r w:rsidRPr="001722BF">
        <w:rPr>
          <w:sz w:val="20"/>
        </w:rPr>
        <w:t>Does Company X appear to enjoy economies of scale in producing washing machines?  Why or why not?</w:t>
      </w:r>
    </w:p>
    <w:p w:rsidR="001722BF" w:rsidRPr="001722BF" w:rsidRDefault="001722BF" w:rsidP="001722BF">
      <w:pPr>
        <w:pStyle w:val="ListParagraph"/>
        <w:numPr>
          <w:ilvl w:val="0"/>
          <w:numId w:val="30"/>
        </w:numPr>
        <w:rPr>
          <w:sz w:val="20"/>
        </w:rPr>
      </w:pPr>
      <w:r w:rsidRPr="001722BF">
        <w:rPr>
          <w:sz w:val="20"/>
        </w:rPr>
        <w:t>Does Company X appear to enjoy economies of scope?  Why or why not?</w:t>
      </w:r>
    </w:p>
    <w:p w:rsidR="00B3153A" w:rsidRDefault="00B3153A" w:rsidP="00C2136D">
      <w:pP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F84039" w:rsidRDefault="00F84039" w:rsidP="00C2136D">
      <w:pPr>
        <w:pBdr>
          <w:top w:val="single" w:sz="4" w:space="1" w:color="auto"/>
          <w:left w:val="single" w:sz="4" w:space="4" w:color="auto"/>
          <w:bottom w:val="single" w:sz="4" w:space="1" w:color="auto"/>
          <w:right w:val="single" w:sz="4" w:space="4" w:color="auto"/>
        </w:pBdr>
        <w:rPr>
          <w:sz w:val="20"/>
        </w:rPr>
      </w:pPr>
    </w:p>
    <w:p w:rsidR="00F84039" w:rsidRDefault="00F84039"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F84039" w:rsidRDefault="00F84039"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rPr>
          <w:sz w:val="20"/>
        </w:rPr>
      </w:pPr>
    </w:p>
    <w:p w:rsidR="00FE6A43" w:rsidRPr="006F379C" w:rsidRDefault="00C2136D" w:rsidP="00C2136D">
      <w:pPr>
        <w:rPr>
          <w:sz w:val="20"/>
          <w:szCs w:val="20"/>
        </w:rPr>
      </w:pPr>
      <w:r>
        <w:rPr>
          <w:sz w:val="20"/>
        </w:rPr>
        <w:t>[</w:t>
      </w:r>
      <w:proofErr w:type="gramStart"/>
      <w:r>
        <w:rPr>
          <w:sz w:val="20"/>
        </w:rPr>
        <w:t>end</w:t>
      </w:r>
      <w:proofErr w:type="gramEnd"/>
      <w:r>
        <w:rPr>
          <w:sz w:val="20"/>
        </w:rPr>
        <w:t xml:space="preserve"> of quiz]</w:t>
      </w:r>
    </w:p>
    <w:sectPr w:rsidR="00FE6A43" w:rsidRPr="006F379C"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D8" w:rsidRDefault="008637D8">
      <w:r>
        <w:separator/>
      </w:r>
    </w:p>
  </w:endnote>
  <w:endnote w:type="continuationSeparator" w:id="0">
    <w:p w:rsidR="008637D8" w:rsidRDefault="00863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D8" w:rsidRDefault="008637D8">
      <w:r>
        <w:separator/>
      </w:r>
    </w:p>
  </w:footnote>
  <w:footnote w:type="continuationSeparator" w:id="0">
    <w:p w:rsidR="008637D8" w:rsidRDefault="00863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4788"/>
    </w:tblGrid>
    <w:tr w:rsidR="009E4FAA" w:rsidTr="008637D8">
      <w:tc>
        <w:tcPr>
          <w:tcW w:w="4788" w:type="dxa"/>
        </w:tcPr>
        <w:p w:rsidR="009E4FAA" w:rsidRPr="008637D8" w:rsidRDefault="009E4FAA">
          <w:pPr>
            <w:pStyle w:val="Header"/>
            <w:rPr>
              <w:sz w:val="20"/>
              <w:szCs w:val="20"/>
            </w:rPr>
          </w:pPr>
          <w:r w:rsidRPr="008637D8">
            <w:rPr>
              <w:sz w:val="20"/>
              <w:szCs w:val="20"/>
            </w:rPr>
            <w:t>Regulation &amp; Antitrust Policy (Econ 180)</w:t>
          </w:r>
        </w:p>
      </w:tc>
      <w:tc>
        <w:tcPr>
          <w:tcW w:w="4788" w:type="dxa"/>
        </w:tcPr>
        <w:p w:rsidR="009E4FAA" w:rsidRPr="008637D8" w:rsidRDefault="009E4FAA" w:rsidP="00C2136D">
          <w:pPr>
            <w:pStyle w:val="Header"/>
            <w:jc w:val="right"/>
            <w:rPr>
              <w:sz w:val="20"/>
              <w:szCs w:val="20"/>
            </w:rPr>
          </w:pPr>
          <w:r w:rsidRPr="008637D8">
            <w:rPr>
              <w:sz w:val="20"/>
              <w:szCs w:val="20"/>
            </w:rPr>
            <w:t>Quiz #</w:t>
          </w:r>
          <w:r w:rsidR="00C2136D">
            <w:rPr>
              <w:sz w:val="20"/>
              <w:szCs w:val="20"/>
            </w:rPr>
            <w:t>7</w:t>
          </w:r>
          <w:r w:rsidRPr="008637D8">
            <w:rPr>
              <w:sz w:val="20"/>
              <w:szCs w:val="20"/>
            </w:rPr>
            <w:t xml:space="preserve"> Version A</w:t>
          </w:r>
        </w:p>
      </w:tc>
    </w:tr>
    <w:tr w:rsidR="009E4FAA" w:rsidTr="008637D8">
      <w:tc>
        <w:tcPr>
          <w:tcW w:w="4788" w:type="dxa"/>
          <w:tcBorders>
            <w:bottom w:val="single" w:sz="4" w:space="0" w:color="auto"/>
          </w:tcBorders>
        </w:tcPr>
        <w:p w:rsidR="009E4FAA" w:rsidRPr="008637D8" w:rsidRDefault="009E4FAA">
          <w:pPr>
            <w:pStyle w:val="Header"/>
            <w:rPr>
              <w:sz w:val="20"/>
              <w:szCs w:val="20"/>
            </w:rPr>
          </w:pPr>
          <w:smartTag w:uri="urn:schemas-microsoft-com:office:smarttags" w:element="place">
            <w:smartTag w:uri="urn:schemas-microsoft-com:office:smarttags" w:element="PlaceName">
              <w:r w:rsidRPr="008637D8">
                <w:rPr>
                  <w:sz w:val="20"/>
                  <w:szCs w:val="20"/>
                </w:rPr>
                <w:t>Drake</w:t>
              </w:r>
            </w:smartTag>
            <w:r w:rsidRPr="008637D8">
              <w:rPr>
                <w:sz w:val="20"/>
                <w:szCs w:val="20"/>
              </w:rPr>
              <w:t xml:space="preserve"> </w:t>
            </w:r>
            <w:smartTag w:uri="urn:schemas-microsoft-com:office:smarttags" w:element="PlaceType">
              <w:r w:rsidRPr="008637D8">
                <w:rPr>
                  <w:sz w:val="20"/>
                  <w:szCs w:val="20"/>
                </w:rPr>
                <w:t>University</w:t>
              </w:r>
            </w:smartTag>
          </w:smartTag>
          <w:r w:rsidRPr="008637D8">
            <w:rPr>
              <w:sz w:val="20"/>
              <w:szCs w:val="20"/>
            </w:rPr>
            <w:t xml:space="preserve">, Spring </w:t>
          </w:r>
          <w:r w:rsidR="00730B3A">
            <w:rPr>
              <w:sz w:val="20"/>
              <w:szCs w:val="20"/>
            </w:rPr>
            <w:t>2011</w:t>
          </w:r>
        </w:p>
      </w:tc>
      <w:tc>
        <w:tcPr>
          <w:tcW w:w="4788" w:type="dxa"/>
          <w:tcBorders>
            <w:bottom w:val="single" w:sz="4" w:space="0" w:color="auto"/>
          </w:tcBorders>
        </w:tcPr>
        <w:p w:rsidR="009E4FAA" w:rsidRPr="008637D8" w:rsidRDefault="009E4FAA" w:rsidP="008637D8">
          <w:pPr>
            <w:pStyle w:val="Header"/>
            <w:jc w:val="right"/>
            <w:rPr>
              <w:sz w:val="20"/>
              <w:szCs w:val="20"/>
            </w:rPr>
          </w:pPr>
          <w:r w:rsidRPr="008637D8">
            <w:rPr>
              <w:sz w:val="20"/>
              <w:szCs w:val="20"/>
            </w:rPr>
            <w:t xml:space="preserve">Page </w:t>
          </w:r>
          <w:r w:rsidR="00DF08B5" w:rsidRPr="008637D8">
            <w:rPr>
              <w:rStyle w:val="PageNumber"/>
              <w:sz w:val="20"/>
              <w:szCs w:val="20"/>
            </w:rPr>
            <w:fldChar w:fldCharType="begin"/>
          </w:r>
          <w:r w:rsidRPr="008637D8">
            <w:rPr>
              <w:rStyle w:val="PageNumber"/>
              <w:sz w:val="20"/>
              <w:szCs w:val="20"/>
            </w:rPr>
            <w:instrText xml:space="preserve"> PAGE </w:instrText>
          </w:r>
          <w:r w:rsidR="00DF08B5" w:rsidRPr="008637D8">
            <w:rPr>
              <w:rStyle w:val="PageNumber"/>
              <w:sz w:val="20"/>
              <w:szCs w:val="20"/>
            </w:rPr>
            <w:fldChar w:fldCharType="separate"/>
          </w:r>
          <w:r w:rsidR="0039584B">
            <w:rPr>
              <w:rStyle w:val="PageNumber"/>
              <w:noProof/>
              <w:sz w:val="20"/>
              <w:szCs w:val="20"/>
            </w:rPr>
            <w:t>5</w:t>
          </w:r>
          <w:r w:rsidR="00DF08B5" w:rsidRPr="008637D8">
            <w:rPr>
              <w:rStyle w:val="PageNumber"/>
              <w:sz w:val="20"/>
              <w:szCs w:val="20"/>
            </w:rPr>
            <w:fldChar w:fldCharType="end"/>
          </w:r>
          <w:r w:rsidRPr="008637D8">
            <w:rPr>
              <w:rStyle w:val="PageNumber"/>
              <w:sz w:val="20"/>
              <w:szCs w:val="20"/>
            </w:rPr>
            <w:t xml:space="preserve"> of </w:t>
          </w:r>
          <w:r w:rsidR="00DF08B5" w:rsidRPr="008637D8">
            <w:rPr>
              <w:rStyle w:val="PageNumber"/>
              <w:sz w:val="20"/>
              <w:szCs w:val="20"/>
            </w:rPr>
            <w:fldChar w:fldCharType="begin"/>
          </w:r>
          <w:r w:rsidRPr="008637D8">
            <w:rPr>
              <w:rStyle w:val="PageNumber"/>
              <w:sz w:val="20"/>
              <w:szCs w:val="20"/>
            </w:rPr>
            <w:instrText xml:space="preserve"> NUMPAGES </w:instrText>
          </w:r>
          <w:r w:rsidR="00DF08B5" w:rsidRPr="008637D8">
            <w:rPr>
              <w:rStyle w:val="PageNumber"/>
              <w:sz w:val="20"/>
              <w:szCs w:val="20"/>
            </w:rPr>
            <w:fldChar w:fldCharType="separate"/>
          </w:r>
          <w:r w:rsidR="0039584B">
            <w:rPr>
              <w:rStyle w:val="PageNumber"/>
              <w:noProof/>
              <w:sz w:val="20"/>
              <w:szCs w:val="20"/>
            </w:rPr>
            <w:t>5</w:t>
          </w:r>
          <w:r w:rsidR="00DF08B5" w:rsidRPr="008637D8">
            <w:rPr>
              <w:rStyle w:val="PageNumber"/>
              <w:sz w:val="20"/>
              <w:szCs w:val="20"/>
            </w:rPr>
            <w:fldChar w:fldCharType="end"/>
          </w:r>
        </w:p>
      </w:tc>
    </w:tr>
  </w:tbl>
  <w:p w:rsidR="009E4FAA" w:rsidRDefault="009E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014"/>
    <w:multiLevelType w:val="hybridMultilevel"/>
    <w:tmpl w:val="4766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A4A"/>
    <w:multiLevelType w:val="hybridMultilevel"/>
    <w:tmpl w:val="7176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F27A2"/>
    <w:multiLevelType w:val="hybridMultilevel"/>
    <w:tmpl w:val="B6D8285C"/>
    <w:lvl w:ilvl="0" w:tplc="32343A1A">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B669D"/>
    <w:multiLevelType w:val="hybridMultilevel"/>
    <w:tmpl w:val="7660E06A"/>
    <w:lvl w:ilvl="0" w:tplc="0CD47346">
      <w:start w:val="1"/>
      <w:numFmt w:val="lowerLetter"/>
      <w:lvlText w:val="%1."/>
      <w:lvlJc w:val="left"/>
      <w:pPr>
        <w:tabs>
          <w:tab w:val="num" w:pos="360"/>
        </w:tabs>
        <w:ind w:left="360" w:hanging="360"/>
      </w:pPr>
      <w:rPr>
        <w:rFonts w:hint="default"/>
      </w:rPr>
    </w:lvl>
    <w:lvl w:ilvl="1" w:tplc="1DFC97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700A12"/>
    <w:multiLevelType w:val="hybridMultilevel"/>
    <w:tmpl w:val="A36251F6"/>
    <w:lvl w:ilvl="0" w:tplc="9710EB6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BA13B2"/>
    <w:multiLevelType w:val="hybridMultilevel"/>
    <w:tmpl w:val="A2E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53BEC"/>
    <w:multiLevelType w:val="hybridMultilevel"/>
    <w:tmpl w:val="10D2842C"/>
    <w:lvl w:ilvl="0" w:tplc="9710EB6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C1D97"/>
    <w:multiLevelType w:val="hybridMultilevel"/>
    <w:tmpl w:val="E0BAD986"/>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E2587"/>
    <w:multiLevelType w:val="hybridMultilevel"/>
    <w:tmpl w:val="867230F6"/>
    <w:lvl w:ilvl="0" w:tplc="9E129FD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181340"/>
    <w:multiLevelType w:val="hybridMultilevel"/>
    <w:tmpl w:val="60368FC0"/>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136697"/>
    <w:multiLevelType w:val="hybridMultilevel"/>
    <w:tmpl w:val="0610E49C"/>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B95A58"/>
    <w:multiLevelType w:val="hybridMultilevel"/>
    <w:tmpl w:val="523E8872"/>
    <w:lvl w:ilvl="0" w:tplc="A1608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A9168BF"/>
    <w:multiLevelType w:val="hybridMultilevel"/>
    <w:tmpl w:val="50D8D2A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F87D9C"/>
    <w:multiLevelType w:val="hybridMultilevel"/>
    <w:tmpl w:val="867230F6"/>
    <w:lvl w:ilvl="0" w:tplc="9E129FD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DBF4DA9"/>
    <w:multiLevelType w:val="hybridMultilevel"/>
    <w:tmpl w:val="03A40C4E"/>
    <w:lvl w:ilvl="0" w:tplc="5F48A8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953272"/>
    <w:multiLevelType w:val="hybridMultilevel"/>
    <w:tmpl w:val="4EFCADBC"/>
    <w:lvl w:ilvl="0" w:tplc="1DFC97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4700460"/>
    <w:multiLevelType w:val="hybridMultilevel"/>
    <w:tmpl w:val="EF04F62A"/>
    <w:lvl w:ilvl="0" w:tplc="A33A75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A877AA"/>
    <w:multiLevelType w:val="hybridMultilevel"/>
    <w:tmpl w:val="2C7E430A"/>
    <w:lvl w:ilvl="0" w:tplc="9710EB6A">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1C3D74"/>
    <w:multiLevelType w:val="hybridMultilevel"/>
    <w:tmpl w:val="867230F6"/>
    <w:lvl w:ilvl="0" w:tplc="9E129FD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BB1CF9"/>
    <w:multiLevelType w:val="hybridMultilevel"/>
    <w:tmpl w:val="33B2B3A0"/>
    <w:lvl w:ilvl="0" w:tplc="A33A7554">
      <w:start w:val="1"/>
      <w:numFmt w:val="lowerLetter"/>
      <w:lvlText w:val="%1."/>
      <w:lvlJc w:val="left"/>
      <w:pPr>
        <w:tabs>
          <w:tab w:val="num" w:pos="360"/>
        </w:tabs>
        <w:ind w:left="360" w:hanging="360"/>
      </w:pPr>
      <w:rPr>
        <w:rFonts w:hint="default"/>
      </w:rPr>
    </w:lvl>
    <w:lvl w:ilvl="1" w:tplc="9710EB6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9D3B89"/>
    <w:multiLevelType w:val="hybridMultilevel"/>
    <w:tmpl w:val="AD448F5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5C179B4"/>
    <w:multiLevelType w:val="hybridMultilevel"/>
    <w:tmpl w:val="33B2B3A0"/>
    <w:lvl w:ilvl="0" w:tplc="A33A7554">
      <w:start w:val="1"/>
      <w:numFmt w:val="lowerLetter"/>
      <w:lvlText w:val="%1."/>
      <w:lvlJc w:val="left"/>
      <w:pPr>
        <w:tabs>
          <w:tab w:val="num" w:pos="360"/>
        </w:tabs>
        <w:ind w:left="360" w:hanging="360"/>
      </w:pPr>
      <w:rPr>
        <w:rFonts w:hint="default"/>
      </w:rPr>
    </w:lvl>
    <w:lvl w:ilvl="1" w:tplc="9710EB6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5F11D46"/>
    <w:multiLevelType w:val="hybridMultilevel"/>
    <w:tmpl w:val="2478652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7586AD8"/>
    <w:multiLevelType w:val="hybridMultilevel"/>
    <w:tmpl w:val="3E500F7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A20743"/>
    <w:multiLevelType w:val="hybridMultilevel"/>
    <w:tmpl w:val="AC941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D6333"/>
    <w:multiLevelType w:val="hybridMultilevel"/>
    <w:tmpl w:val="F3C8C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8136B"/>
    <w:multiLevelType w:val="hybridMultilevel"/>
    <w:tmpl w:val="106690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23B1328"/>
    <w:multiLevelType w:val="hybridMultilevel"/>
    <w:tmpl w:val="0FAC966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0757BC"/>
    <w:multiLevelType w:val="hybridMultilevel"/>
    <w:tmpl w:val="40322F9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5F1787"/>
    <w:multiLevelType w:val="hybridMultilevel"/>
    <w:tmpl w:val="9348DF4E"/>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7D5E99"/>
    <w:multiLevelType w:val="hybridMultilevel"/>
    <w:tmpl w:val="A3BC0950"/>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2D302D"/>
    <w:multiLevelType w:val="hybridMultilevel"/>
    <w:tmpl w:val="D7128808"/>
    <w:lvl w:ilvl="0" w:tplc="299CC8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31"/>
  </w:num>
  <w:num w:numId="3">
    <w:abstractNumId w:val="17"/>
  </w:num>
  <w:num w:numId="4">
    <w:abstractNumId w:val="10"/>
  </w:num>
  <w:num w:numId="5">
    <w:abstractNumId w:val="6"/>
  </w:num>
  <w:num w:numId="6">
    <w:abstractNumId w:val="30"/>
  </w:num>
  <w:num w:numId="7">
    <w:abstractNumId w:val="7"/>
  </w:num>
  <w:num w:numId="8">
    <w:abstractNumId w:val="12"/>
  </w:num>
  <w:num w:numId="9">
    <w:abstractNumId w:val="4"/>
  </w:num>
  <w:num w:numId="10">
    <w:abstractNumId w:val="20"/>
  </w:num>
  <w:num w:numId="11">
    <w:abstractNumId w:val="29"/>
  </w:num>
  <w:num w:numId="12">
    <w:abstractNumId w:val="9"/>
  </w:num>
  <w:num w:numId="13">
    <w:abstractNumId w:val="16"/>
  </w:num>
  <w:num w:numId="14">
    <w:abstractNumId w:val="1"/>
  </w:num>
  <w:num w:numId="15">
    <w:abstractNumId w:val="21"/>
  </w:num>
  <w:num w:numId="16">
    <w:abstractNumId w:val="24"/>
  </w:num>
  <w:num w:numId="17">
    <w:abstractNumId w:val="22"/>
  </w:num>
  <w:num w:numId="18">
    <w:abstractNumId w:val="3"/>
  </w:num>
  <w:num w:numId="19">
    <w:abstractNumId w:val="15"/>
  </w:num>
  <w:num w:numId="20">
    <w:abstractNumId w:val="27"/>
  </w:num>
  <w:num w:numId="21">
    <w:abstractNumId w:val="28"/>
  </w:num>
  <w:num w:numId="22">
    <w:abstractNumId w:val="2"/>
  </w:num>
  <w:num w:numId="23">
    <w:abstractNumId w:val="23"/>
  </w:num>
  <w:num w:numId="24">
    <w:abstractNumId w:val="13"/>
  </w:num>
  <w:num w:numId="25">
    <w:abstractNumId w:val="14"/>
  </w:num>
  <w:num w:numId="26">
    <w:abstractNumId w:val="11"/>
  </w:num>
  <w:num w:numId="27">
    <w:abstractNumId w:val="26"/>
  </w:num>
  <w:num w:numId="28">
    <w:abstractNumId w:val="5"/>
  </w:num>
  <w:num w:numId="29">
    <w:abstractNumId w:val="0"/>
  </w:num>
  <w:num w:numId="30">
    <w:abstractNumId w:val="25"/>
  </w:num>
  <w:num w:numId="31">
    <w:abstractNumId w:val="8"/>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2BF7"/>
    <w:rsid w:val="0000411F"/>
    <w:rsid w:val="00010B45"/>
    <w:rsid w:val="00013089"/>
    <w:rsid w:val="00025DAB"/>
    <w:rsid w:val="0004615C"/>
    <w:rsid w:val="00054350"/>
    <w:rsid w:val="0007380E"/>
    <w:rsid w:val="000B0FF8"/>
    <w:rsid w:val="000C0F55"/>
    <w:rsid w:val="000C138D"/>
    <w:rsid w:val="000E6D26"/>
    <w:rsid w:val="00123422"/>
    <w:rsid w:val="00124847"/>
    <w:rsid w:val="00133D40"/>
    <w:rsid w:val="0014722D"/>
    <w:rsid w:val="001722BF"/>
    <w:rsid w:val="0017264B"/>
    <w:rsid w:val="001A26B2"/>
    <w:rsid w:val="001B7955"/>
    <w:rsid w:val="001C7981"/>
    <w:rsid w:val="001E3789"/>
    <w:rsid w:val="001F23EA"/>
    <w:rsid w:val="001F5921"/>
    <w:rsid w:val="0020663E"/>
    <w:rsid w:val="00212443"/>
    <w:rsid w:val="0021569D"/>
    <w:rsid w:val="002253DE"/>
    <w:rsid w:val="002363C4"/>
    <w:rsid w:val="002436EA"/>
    <w:rsid w:val="002636F2"/>
    <w:rsid w:val="00285852"/>
    <w:rsid w:val="00287C6E"/>
    <w:rsid w:val="00291E65"/>
    <w:rsid w:val="00295715"/>
    <w:rsid w:val="00296A90"/>
    <w:rsid w:val="002B1C44"/>
    <w:rsid w:val="002E42EA"/>
    <w:rsid w:val="00321886"/>
    <w:rsid w:val="00332271"/>
    <w:rsid w:val="00336C97"/>
    <w:rsid w:val="00340964"/>
    <w:rsid w:val="003411CB"/>
    <w:rsid w:val="00346C5F"/>
    <w:rsid w:val="00353BE5"/>
    <w:rsid w:val="003612F8"/>
    <w:rsid w:val="0039584B"/>
    <w:rsid w:val="003E0893"/>
    <w:rsid w:val="003F758F"/>
    <w:rsid w:val="00450AC5"/>
    <w:rsid w:val="004548FC"/>
    <w:rsid w:val="00457150"/>
    <w:rsid w:val="0048516C"/>
    <w:rsid w:val="004A08E7"/>
    <w:rsid w:val="004A1242"/>
    <w:rsid w:val="004A3D4C"/>
    <w:rsid w:val="004A566C"/>
    <w:rsid w:val="004B4F6B"/>
    <w:rsid w:val="004E1549"/>
    <w:rsid w:val="004E5FB9"/>
    <w:rsid w:val="005420FA"/>
    <w:rsid w:val="005647B1"/>
    <w:rsid w:val="00573D9B"/>
    <w:rsid w:val="0059170A"/>
    <w:rsid w:val="00593025"/>
    <w:rsid w:val="00596B3A"/>
    <w:rsid w:val="005E7114"/>
    <w:rsid w:val="00614956"/>
    <w:rsid w:val="00631AED"/>
    <w:rsid w:val="00666B5B"/>
    <w:rsid w:val="006A5DCE"/>
    <w:rsid w:val="006B3F9A"/>
    <w:rsid w:val="006C5BC4"/>
    <w:rsid w:val="006C763E"/>
    <w:rsid w:val="006D392B"/>
    <w:rsid w:val="006F379C"/>
    <w:rsid w:val="00730B3A"/>
    <w:rsid w:val="00740D54"/>
    <w:rsid w:val="0078686D"/>
    <w:rsid w:val="007960AD"/>
    <w:rsid w:val="007A3E18"/>
    <w:rsid w:val="007A5935"/>
    <w:rsid w:val="007A612D"/>
    <w:rsid w:val="007E08DD"/>
    <w:rsid w:val="00834BF7"/>
    <w:rsid w:val="00843F95"/>
    <w:rsid w:val="00855BBD"/>
    <w:rsid w:val="008621F2"/>
    <w:rsid w:val="008637D8"/>
    <w:rsid w:val="00876D36"/>
    <w:rsid w:val="00881FFD"/>
    <w:rsid w:val="00892BF0"/>
    <w:rsid w:val="008C1F31"/>
    <w:rsid w:val="008C43C4"/>
    <w:rsid w:val="008D1A55"/>
    <w:rsid w:val="00901721"/>
    <w:rsid w:val="0090620B"/>
    <w:rsid w:val="00916896"/>
    <w:rsid w:val="00921872"/>
    <w:rsid w:val="00921A4A"/>
    <w:rsid w:val="00931F5C"/>
    <w:rsid w:val="00940E0C"/>
    <w:rsid w:val="009752D2"/>
    <w:rsid w:val="00984F79"/>
    <w:rsid w:val="009947C3"/>
    <w:rsid w:val="009A6DD9"/>
    <w:rsid w:val="009B21B5"/>
    <w:rsid w:val="009E3880"/>
    <w:rsid w:val="009E4FAA"/>
    <w:rsid w:val="009F6851"/>
    <w:rsid w:val="00A04C51"/>
    <w:rsid w:val="00A1000F"/>
    <w:rsid w:val="00A15843"/>
    <w:rsid w:val="00A25965"/>
    <w:rsid w:val="00A65D87"/>
    <w:rsid w:val="00A70A29"/>
    <w:rsid w:val="00AB4A10"/>
    <w:rsid w:val="00AD3332"/>
    <w:rsid w:val="00AF3A42"/>
    <w:rsid w:val="00B3153A"/>
    <w:rsid w:val="00B75406"/>
    <w:rsid w:val="00B772CE"/>
    <w:rsid w:val="00B8077F"/>
    <w:rsid w:val="00B97B97"/>
    <w:rsid w:val="00BC3A8D"/>
    <w:rsid w:val="00BF0F5E"/>
    <w:rsid w:val="00BF5462"/>
    <w:rsid w:val="00C02B67"/>
    <w:rsid w:val="00C04FC0"/>
    <w:rsid w:val="00C13BB2"/>
    <w:rsid w:val="00C2136D"/>
    <w:rsid w:val="00C430E0"/>
    <w:rsid w:val="00C727A7"/>
    <w:rsid w:val="00C761CC"/>
    <w:rsid w:val="00C9355D"/>
    <w:rsid w:val="00CA3058"/>
    <w:rsid w:val="00D16A18"/>
    <w:rsid w:val="00D16FDE"/>
    <w:rsid w:val="00D20A77"/>
    <w:rsid w:val="00D36D5B"/>
    <w:rsid w:val="00D51F82"/>
    <w:rsid w:val="00D649B0"/>
    <w:rsid w:val="00D83FE5"/>
    <w:rsid w:val="00D91BD9"/>
    <w:rsid w:val="00DA1C47"/>
    <w:rsid w:val="00DB6B45"/>
    <w:rsid w:val="00DB71A2"/>
    <w:rsid w:val="00DC447F"/>
    <w:rsid w:val="00DC6A81"/>
    <w:rsid w:val="00DD11BE"/>
    <w:rsid w:val="00DE3B2A"/>
    <w:rsid w:val="00DF04B4"/>
    <w:rsid w:val="00DF08B5"/>
    <w:rsid w:val="00DF2865"/>
    <w:rsid w:val="00E1372B"/>
    <w:rsid w:val="00E6246C"/>
    <w:rsid w:val="00E636B0"/>
    <w:rsid w:val="00E84B38"/>
    <w:rsid w:val="00EC540F"/>
    <w:rsid w:val="00EC7694"/>
    <w:rsid w:val="00ED5CFA"/>
    <w:rsid w:val="00EF092F"/>
    <w:rsid w:val="00F15658"/>
    <w:rsid w:val="00F51607"/>
    <w:rsid w:val="00F65DC8"/>
    <w:rsid w:val="00F84039"/>
    <w:rsid w:val="00F8696A"/>
    <w:rsid w:val="00FB21FF"/>
    <w:rsid w:val="00FB7447"/>
    <w:rsid w:val="00FC70D0"/>
    <w:rsid w:val="00FD0D7A"/>
    <w:rsid w:val="00FD0EA7"/>
    <w:rsid w:val="00FD33BC"/>
    <w:rsid w:val="00FD4D81"/>
    <w:rsid w:val="00FD7CD9"/>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BalloonText">
    <w:name w:val="Balloon Text"/>
    <w:basedOn w:val="Normal"/>
    <w:link w:val="BalloonTextChar"/>
    <w:rsid w:val="00730B3A"/>
    <w:rPr>
      <w:rFonts w:ascii="Tahoma" w:hAnsi="Tahoma" w:cs="Tahoma"/>
      <w:sz w:val="16"/>
      <w:szCs w:val="16"/>
    </w:rPr>
  </w:style>
  <w:style w:type="character" w:customStyle="1" w:styleId="BalloonTextChar">
    <w:name w:val="Balloon Text Char"/>
    <w:basedOn w:val="DefaultParagraphFont"/>
    <w:link w:val="BalloonText"/>
    <w:rsid w:val="00730B3A"/>
    <w:rPr>
      <w:rFonts w:ascii="Tahoma" w:hAnsi="Tahoma" w:cs="Tahoma"/>
      <w:sz w:val="16"/>
      <w:szCs w:val="16"/>
    </w:rPr>
  </w:style>
  <w:style w:type="paragraph" w:styleId="ListParagraph">
    <w:name w:val="List Paragraph"/>
    <w:basedOn w:val="Normal"/>
    <w:uiPriority w:val="34"/>
    <w:qFormat/>
    <w:rsid w:val="00C76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Teaching\180%20Regulation%20&amp;%20Antitrust\2011%20spring\exams\11spq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37906137184116"/>
          <c:y val="5.0000071806169354E-2"/>
          <c:w val="0.81949458483754456"/>
          <c:h val="0.7794128840373441"/>
        </c:manualLayout>
      </c:layout>
      <c:scatterChart>
        <c:scatterStyle val="lineMarker"/>
        <c:ser>
          <c:idx val="0"/>
          <c:order val="0"/>
          <c:tx>
            <c:strRef>
              <c:f>'Version A'!$B$25</c:f>
              <c:strCache>
                <c:ptCount val="1"/>
                <c:pt idx="0">
                  <c:v>Demand</c:v>
                </c:pt>
              </c:strCache>
            </c:strRef>
          </c:tx>
          <c:spPr>
            <a:ln w="25400">
              <a:solidFill>
                <a:srgbClr val="000080"/>
              </a:solidFill>
              <a:prstDash val="solid"/>
            </a:ln>
          </c:spPr>
          <c:marker>
            <c:symbol val="diamond"/>
            <c:size val="8"/>
            <c:spPr>
              <a:solidFill>
                <a:srgbClr val="000080"/>
              </a:solidFill>
              <a:ln>
                <a:solidFill>
                  <a:srgbClr val="000080"/>
                </a:solidFill>
                <a:prstDash val="solid"/>
              </a:ln>
            </c:spPr>
          </c:marker>
          <c:xVal>
            <c:numRef>
              <c:f>'Version A'!$A$26:$A$46</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'Version A'!$B$26:$B$46</c:f>
              <c:numCache>
                <c:formatCode>General</c:formatCode>
                <c:ptCount val="21"/>
                <c:pt idx="0">
                  <c:v>9</c:v>
                </c:pt>
                <c:pt idx="1">
                  <c:v>8.5</c:v>
                </c:pt>
                <c:pt idx="2">
                  <c:v>8</c:v>
                </c:pt>
                <c:pt idx="3">
                  <c:v>7.5</c:v>
                </c:pt>
                <c:pt idx="4">
                  <c:v>7</c:v>
                </c:pt>
                <c:pt idx="5">
                  <c:v>6.5</c:v>
                </c:pt>
                <c:pt idx="6">
                  <c:v>6</c:v>
                </c:pt>
                <c:pt idx="7">
                  <c:v>5.5</c:v>
                </c:pt>
                <c:pt idx="8">
                  <c:v>5</c:v>
                </c:pt>
                <c:pt idx="9">
                  <c:v>4.5</c:v>
                </c:pt>
                <c:pt idx="10">
                  <c:v>4</c:v>
                </c:pt>
                <c:pt idx="11">
                  <c:v>3.5</c:v>
                </c:pt>
                <c:pt idx="12">
                  <c:v>3</c:v>
                </c:pt>
                <c:pt idx="13">
                  <c:v>2.5</c:v>
                </c:pt>
                <c:pt idx="14">
                  <c:v>2</c:v>
                </c:pt>
                <c:pt idx="15">
                  <c:v>1.5</c:v>
                </c:pt>
                <c:pt idx="16">
                  <c:v>1</c:v>
                </c:pt>
                <c:pt idx="17">
                  <c:v>0.5</c:v>
                </c:pt>
                <c:pt idx="18">
                  <c:v>0</c:v>
                </c:pt>
                <c:pt idx="19">
                  <c:v>-0.5</c:v>
                </c:pt>
                <c:pt idx="20">
                  <c:v>-1</c:v>
                </c:pt>
              </c:numCache>
            </c:numRef>
          </c:yVal>
        </c:ser>
        <c:ser>
          <c:idx val="1"/>
          <c:order val="1"/>
          <c:tx>
            <c:strRef>
              <c:f>'Version A'!$C$25</c:f>
              <c:strCache>
                <c:ptCount val="1"/>
                <c:pt idx="0">
                  <c:v>Premerger AC=MC</c:v>
                </c:pt>
              </c:strCache>
            </c:strRef>
          </c:tx>
          <c:spPr>
            <a:ln w="25400">
              <a:solidFill>
                <a:srgbClr val="FF00FF"/>
              </a:solidFill>
              <a:prstDash val="solid"/>
            </a:ln>
          </c:spPr>
          <c:marker>
            <c:symbol val="square"/>
            <c:size val="8"/>
            <c:spPr>
              <a:noFill/>
              <a:ln>
                <a:solidFill>
                  <a:srgbClr val="FF00FF"/>
                </a:solidFill>
                <a:prstDash val="solid"/>
              </a:ln>
            </c:spPr>
          </c:marker>
          <c:xVal>
            <c:numRef>
              <c:f>'Version A'!$A$26:$A$46</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'Version A'!$C$26:$C$46</c:f>
              <c:numCache>
                <c:formatCode>General</c:formatCode>
                <c:ptCount val="21"/>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numCache>
            </c:numRef>
          </c:yVal>
        </c:ser>
        <c:ser>
          <c:idx val="2"/>
          <c:order val="2"/>
          <c:tx>
            <c:strRef>
              <c:f>'Version A'!$D$25</c:f>
              <c:strCache>
                <c:ptCount val="1"/>
                <c:pt idx="0">
                  <c:v>Postmerger AC=MC</c:v>
                </c:pt>
              </c:strCache>
            </c:strRef>
          </c:tx>
          <c:spPr>
            <a:ln w="25400">
              <a:solidFill>
                <a:srgbClr val="000000"/>
              </a:solidFill>
              <a:prstDash val="solid"/>
            </a:ln>
          </c:spPr>
          <c:marker>
            <c:symbol val="triangle"/>
            <c:size val="8"/>
            <c:spPr>
              <a:noFill/>
              <a:ln>
                <a:solidFill>
                  <a:srgbClr val="000000"/>
                </a:solidFill>
                <a:prstDash val="solid"/>
              </a:ln>
            </c:spPr>
          </c:marker>
          <c:xVal>
            <c:numRef>
              <c:f>'Version A'!$A$26:$A$46</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'Version A'!$D$26:$D$46</c:f>
              <c:numCache>
                <c:formatCode>General</c:formatCode>
                <c:ptCount val="21"/>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numCache>
            </c:numRef>
          </c:yVal>
        </c:ser>
        <c:axId val="71731072"/>
        <c:axId val="71747456"/>
      </c:scatterChart>
      <c:valAx>
        <c:axId val="71731072"/>
        <c:scaling>
          <c:orientation val="minMax"/>
          <c:max val="18"/>
          <c:min val="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Quantity (thousands)</a:t>
                </a:r>
              </a:p>
            </c:rich>
          </c:tx>
          <c:layout>
            <c:manualLayout>
              <c:xMode val="edge"/>
              <c:yMode val="edge"/>
              <c:x val="0.43862815884476591"/>
              <c:y val="0.9205894704338435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1747456"/>
        <c:crosses val="autoZero"/>
        <c:crossBetween val="midCat"/>
        <c:majorUnit val="1"/>
      </c:valAx>
      <c:valAx>
        <c:axId val="71747456"/>
        <c:scaling>
          <c:orientation val="minMax"/>
          <c:max val="10"/>
          <c:min val="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Price</a:t>
                </a:r>
              </a:p>
            </c:rich>
          </c:tx>
          <c:layout>
            <c:manualLayout>
              <c:xMode val="edge"/>
              <c:yMode val="edge"/>
              <c:x val="3.4296028880866442E-2"/>
              <c:y val="0.38529473521692137"/>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1731072"/>
        <c:crosses val="autoZero"/>
        <c:crossBetween val="midCat"/>
        <c:majorUnit val="1"/>
      </c:valAx>
      <c:spPr>
        <a:noFill/>
        <a:ln w="12700">
          <a:solidFill>
            <a:srgbClr val="808080"/>
          </a:solidFill>
          <a:prstDash val="solid"/>
        </a:ln>
      </c:spPr>
    </c:plotArea>
    <c:legend>
      <c:legendPos val="r"/>
      <c:layout>
        <c:manualLayout>
          <c:xMode val="edge"/>
          <c:yMode val="edge"/>
          <c:x val="0.62996389891696747"/>
          <c:y val="7.1568627450980499E-2"/>
          <c:w val="0.29441975842213525"/>
          <c:h val="0.29450063422923245"/>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1220</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creator>William Boal</dc:creator>
  <cp:lastModifiedBy>000001363</cp:lastModifiedBy>
  <cp:revision>16</cp:revision>
  <cp:lastPrinted>2011-03-10T17:50:00Z</cp:lastPrinted>
  <dcterms:created xsi:type="dcterms:W3CDTF">2011-03-08T18:35:00Z</dcterms:created>
  <dcterms:modified xsi:type="dcterms:W3CDTF">2011-03-10T17:50:00Z</dcterms:modified>
</cp:coreProperties>
</file>